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0" w:after="320"/>
      </w:pPr>
      <w:r>
        <w:rPr>
          <w:rFonts w:ascii="Calibri" w:hAnsi="Calibri"/>
          <w:b/>
          <w:color w:val="A80E13"/>
          <w:sz w:val="20"/>
        </w:rPr>
        <w:t>MAHE MENTAL HEALTH INITIATIVE</w:t>
      </w:r>
    </w:p>
    <w:p>
      <w:pPr>
        <w:spacing w:before="0" w:after="280"/>
      </w:pPr>
      <w:r>
        <w:rPr>
          <w:rFonts w:ascii="Garamond" w:hAnsi="Garamond"/>
          <w:color w:val="14120F"/>
          <w:sz w:val="68"/>
        </w:rPr>
        <w:t>Competitor Analysis: Who Ships What, Who Pays</w:t>
      </w:r>
    </w:p>
    <w:p>
      <w:pPr>
        <w:spacing w:before="0" w:after="400"/>
      </w:pPr>
      <w:r>
        <w:rPr>
          <w:rFonts w:ascii="Garamond" w:hAnsi="Garamond"/>
          <w:i/>
          <w:color w:val="46443F"/>
          <w:sz w:val="27"/>
        </w:rPr>
        <w:t>Every platform surveyed for this proposal, what it ships, and how it makes money. No commentary, no recommendation: the record only.</w:t>
      </w:r>
    </w:p>
    <w:p>
      <w:pPr>
        <w:spacing w:before="40" w:after="280"/>
        <w:pBdr>
          <w:bottom w:val="single" w:sz="12" w:space="1" w:color="14120F"/>
        </w:pBdr>
      </w:pPr>
    </w:p>
    <w:p>
      <w:pPr>
        <w:spacing w:before="0" w:after="80"/>
      </w:pPr>
      <w:r>
        <w:rPr>
          <w:rFonts w:ascii="Calibri" w:hAnsi="Calibri"/>
          <w:color w:val="78756E"/>
          <w:sz w:val="19"/>
        </w:rPr>
        <w:t xml:space="preserve">Prepared for  </w:t>
      </w:r>
      <w:r>
        <w:rPr>
          <w:rFonts w:ascii="Calibri" w:hAnsi="Calibri"/>
          <w:b/>
          <w:color w:val="14120F"/>
          <w:sz w:val="19"/>
        </w:rPr>
        <w:t>MAHE, discovery discussion (review panel)</w:t>
      </w:r>
    </w:p>
    <w:p>
      <w:pPr>
        <w:spacing w:before="0" w:after="80"/>
      </w:pPr>
      <w:r>
        <w:rPr>
          <w:rFonts w:ascii="Calibri" w:hAnsi="Calibri"/>
          <w:color w:val="78756E"/>
          <w:sz w:val="19"/>
        </w:rPr>
        <w:t xml:space="preserve">Date  </w:t>
      </w:r>
      <w:r>
        <w:rPr>
          <w:rFonts w:ascii="Calibri" w:hAnsi="Calibri"/>
          <w:b/>
          <w:color w:val="14120F"/>
          <w:sz w:val="19"/>
        </w:rPr>
        <w:t>14 September 2026</w:t>
      </w:r>
    </w:p>
    <w:p>
      <w:pPr>
        <w:spacing w:before="0" w:after="80"/>
      </w:pPr>
      <w:r>
        <w:rPr>
          <w:rFonts w:ascii="Calibri" w:hAnsi="Calibri"/>
          <w:color w:val="78756E"/>
          <w:sz w:val="19"/>
        </w:rPr>
        <w:t xml:space="preserve">Scope  </w:t>
      </w:r>
      <w:r>
        <w:rPr>
          <w:rFonts w:ascii="Calibri" w:hAnsi="Calibri"/>
          <w:b/>
          <w:color w:val="14120F"/>
          <w:sz w:val="19"/>
        </w:rPr>
        <w:t>18 platforms · 5 market segments</w:t>
      </w:r>
    </w:p>
    <w:p>
      <w:r>
        <w:br w:type="page"/>
      </w:r>
    </w:p>
    <w:p>
      <w:pPr>
        <w:spacing w:before="520" w:after="240"/>
        <w:pBdr>
          <w:bottom w:val="single" w:sz="14" w:space="1" w:color="14120F"/>
        </w:pBdr>
      </w:pPr>
      <w:r>
        <w:rPr>
          <w:rFonts w:ascii="Garamond" w:hAnsi="Garamond"/>
          <w:b/>
          <w:color w:val="14120F"/>
          <w:sz w:val="34"/>
        </w:rPr>
        <w:t>1. Global Consumer Wellness</w:t>
      </w:r>
    </w:p>
    <w:p>
      <w:pPr>
        <w:spacing w:before="0" w:after="200"/>
      </w:pPr>
      <w:r>
        <w:rPr>
          <w:rFonts w:ascii="Garamond" w:hAnsi="Garamond"/>
          <w:color w:val="78756E"/>
          <w:sz w:val="19"/>
        </w:rPr>
        <w:t>D2C subscription, content-led.</w:t>
      </w: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Calm</w:t>
      </w:r>
      <w:r>
        <w:rPr>
          <w:rFonts w:ascii="Calibri" w:hAnsi="Calibri"/>
          <w:i/>
          <w:color w:val="78756E"/>
          <w:sz w:val="17"/>
        </w:rPr>
        <w:t xml:space="preserve">   US · Global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Guided meditation, Sleep Stories, breathwork, Daily Calm, mood check-ins, masterclasses, music, kids' content.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D2C freemium subscription. Premium $69.99–79.99/yr; Family $99.99/yr for six seats; lifetime $499.99. Calm Business sells seats to employers.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Headspace</w:t>
      </w:r>
      <w:r>
        <w:rPr>
          <w:rFonts w:ascii="Calibri" w:hAnsi="Calibri"/>
          <w:i/>
          <w:color w:val="78756E"/>
          <w:sz w:val="17"/>
        </w:rPr>
        <w:t xml:space="preserve">   US · Global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Meditation, mindfulness courses, sleepcasts, focus music, movement; coaching and therapy inside enterprise tiers post-Ginger merger.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D2C subscription ($12.99/mo, $69.99/yr) plus enterprise and health-plan contracts priced per employee per month.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Wysa</w:t>
      </w:r>
      <w:r>
        <w:rPr>
          <w:rFonts w:ascii="Calibri" w:hAnsi="Calibri"/>
          <w:i/>
          <w:color w:val="78756E"/>
          <w:sz w:val="17"/>
        </w:rPr>
        <w:t xml:space="preserve">   India-origin · Global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AI CBT conversational agent, 150+ self-help tools, DBT and mindfulness exercises, an SOS toolkit (grounding exercises, personal safety plan, local helplines), a human coach add-on, and a clinician-side Digital Referral Assistant.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B2B2C. Over 80% of revenue comes from businesses and health plans; the free anonymous tier is the funnel. Premium ~$74.99/yr; coaching from $19.99/session; enterprise custom-priced.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520" w:after="240"/>
        <w:pBdr>
          <w:bottom w:val="single" w:sz="14" w:space="1" w:color="14120F"/>
        </w:pBdr>
      </w:pPr>
      <w:r>
        <w:rPr>
          <w:rFonts w:ascii="Garamond" w:hAnsi="Garamond"/>
          <w:b/>
          <w:color w:val="14120F"/>
          <w:sz w:val="34"/>
        </w:rPr>
        <w:t>2. Teletherapy Marketplaces</w:t>
      </w:r>
    </w:p>
    <w:p>
      <w:pPr>
        <w:spacing w:before="0" w:after="200"/>
      </w:pPr>
      <w:r>
        <w:rPr>
          <w:rFonts w:ascii="Garamond" w:hAnsi="Garamond"/>
          <w:color w:val="78756E"/>
          <w:sz w:val="19"/>
        </w:rPr>
        <w:t>D2C subscription, transitioning to payer-funded.</w:t>
      </w: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BetterHelp</w:t>
      </w:r>
      <w:r>
        <w:rPr>
          <w:rFonts w:ascii="Calibri" w:hAnsi="Calibri"/>
          <w:i/>
          <w:color w:val="78756E"/>
          <w:sz w:val="17"/>
        </w:rPr>
        <w:t xml:space="preserve">   US · Teladoc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Matched licensed therapist, unlimited messaging, weekly live video or phone, journaling, group webinars.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D2C subscription marketplace. $70–100/week, billed four-weekly ($280–400/mo); 10–40% financial aid including a student discount. Revenue fell 11% year-on-year in Q1 2025; acquired UpLift to move in-network with insurers.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Talkspace</w:t>
      </w:r>
      <w:r>
        <w:rPr>
          <w:rFonts w:ascii="Calibri" w:hAnsi="Calibri"/>
          <w:i/>
          <w:color w:val="78756E"/>
          <w:sz w:val="17"/>
        </w:rPr>
        <w:t xml:space="preserve">   US · NASDAQ: TALK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Messaging therapy, live video sessions, psychiatry, live workshops, teen and couples programmes.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$69/wk messaging, $99/wk video and messaging, $109/wk with workshops; ~$10 average copay when insurance covers it. Payer business up 33% in Q1 2025; five consecutive profitable quarters; FY2025 guidance $220–235M.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520" w:after="240"/>
        <w:pBdr>
          <w:bottom w:val="single" w:sz="14" w:space="1" w:color="14120F"/>
        </w:pBdr>
      </w:pPr>
      <w:r>
        <w:rPr>
          <w:rFonts w:ascii="Garamond" w:hAnsi="Garamond"/>
          <w:b/>
          <w:color w:val="14120F"/>
          <w:sz w:val="34"/>
        </w:rPr>
        <w:t>3. Campus-Native Platforms</w:t>
      </w:r>
    </w:p>
    <w:p>
      <w:pPr>
        <w:spacing w:before="0" w:after="200"/>
      </w:pPr>
      <w:r>
        <w:rPr>
          <w:rFonts w:ascii="Garamond" w:hAnsi="Garamond"/>
          <w:color w:val="78756E"/>
          <w:sz w:val="19"/>
        </w:rPr>
        <w:t>B2B, per-student licence.</w:t>
      </w: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TimelyCare</w:t>
      </w:r>
      <w:r>
        <w:rPr>
          <w:rFonts w:ascii="Calibri" w:hAnsi="Calibri"/>
          <w:i/>
          <w:color w:val="78756E"/>
          <w:sz w:val="17"/>
        </w:rPr>
        <w:t xml:space="preserve">   US · ~500 campuses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TalkNow 24/7 on-demand emotional support, scheduled counselling, psychiatry, health coaching, basic medical care, peer community, self-guided content, faculty referral tools. Acquired Alongside (May 2026) for clinician-powered AI coaching and risk detection.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Institution pays; TimelyCare supplies the entire clinical network. Three contract shapes: 3% population cap, 10% cap with unused-visit rollover, or all-students per-student-per-year. ~500 institutions, 3 million students; $60M Series C. Public anchor: James Madison University, $435,600 in year one of a three-year deal.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Uwill</w:t>
      </w:r>
      <w:r>
        <w:rPr>
          <w:rFonts w:ascii="Calibri" w:hAnsi="Calibri"/>
          <w:i/>
          <w:color w:val="78756E"/>
          <w:sz w:val="17"/>
        </w:rPr>
        <w:t xml:space="preserve">   US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Therapist choice and matching in minutes, video, phone, chat and message, a 24/7 crisis line, wellness content.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Institution-paid licence, typically hours-based or per-student. $30M Series A from Education Growth Partners, $35.2M total raised.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Mantra Health</w:t>
      </w:r>
      <w:r>
        <w:rPr>
          <w:rFonts w:ascii="Calibri" w:hAnsi="Calibri"/>
          <w:i/>
          <w:color w:val="78756E"/>
          <w:sz w:val="17"/>
        </w:rPr>
        <w:t xml:space="preserve">   US · 52+ campuses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An explicit stepped-care ladder: self-care tools, a DBT-based life-skills programme, peer support via a Togetherall partnership, wellness coaching, teletherapy, telepsychiatry, and 24/7 crisis. A Collaboration Portal gives campus clinicians visibility into referrals and care plans.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Institution-paid, closed-loop referral between the campus counselling centre and Mantra's clinicians. ~500,000 students across 52+ campuses including Penn State, MIT and Miami Dade; $22M Series A plus extension.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Togetherall</w:t>
      </w:r>
      <w:r>
        <w:rPr>
          <w:rFonts w:ascii="Calibri" w:hAnsi="Calibri"/>
          <w:i/>
          <w:color w:val="78756E"/>
          <w:sz w:val="17"/>
        </w:rPr>
        <w:t xml:space="preserve">   UK / US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24/7 anonymous, clinically moderated peer community, self-assessments, wellbeing courses on depression, sleep and anxiety, goal tracking, and signposting into each university's own resources.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Institution-paid annual licence, sold as a lower-cost tier that absorbs mild-to-moderate need. Deployed at Baylor, Boston University, Buffalo, Iowa, UW-Madison, UT El Paso and Pittsburgh.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YOU at College</w:t>
      </w:r>
      <w:r>
        <w:rPr>
          <w:rFonts w:ascii="Calibri" w:hAnsi="Calibri"/>
          <w:i/>
          <w:color w:val="78756E"/>
          <w:sz w:val="17"/>
        </w:rPr>
        <w:t xml:space="preserve">   US · Grit Digital Health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A personalised wellbeing portal across Succeed, Thrive and Matter domains, self-assessments, and a content engine surfacing that campus's own resources.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Pure engagement and content SaaS, institution-paid, no clinicians involved. $0.75–$3.00 per student per year; 30+ campuses, 300,000+ students.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SilverCloud by Amwell</w:t>
      </w:r>
      <w:r>
        <w:rPr>
          <w:rFonts w:ascii="Calibri" w:hAnsi="Calibri"/>
          <w:i/>
          <w:color w:val="78756E"/>
          <w:sz w:val="17"/>
        </w:rPr>
        <w:t xml:space="preserve">   Ireland / UK / US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Guided internet-delivered CBT programmes with a human supporter model and built-in outcome measurement.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Enterprise licence to health systems, employers and universities. Deployed across the NHS and HSE.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520" w:after="240"/>
        <w:pBdr>
          <w:bottom w:val="single" w:sz="14" w:space="1" w:color="14120F"/>
        </w:pBdr>
      </w:pPr>
      <w:r>
        <w:rPr>
          <w:rFonts w:ascii="Garamond" w:hAnsi="Garamond"/>
          <w:b/>
          <w:color w:val="14120F"/>
          <w:sz w:val="34"/>
        </w:rPr>
        <w:t>4. Indian Clinical Platforms</w:t>
      </w:r>
    </w:p>
    <w:p>
      <w:pPr>
        <w:spacing w:before="0" w:after="200"/>
      </w:pPr>
      <w:r>
        <w:rPr>
          <w:rFonts w:ascii="Garamond" w:hAnsi="Garamond"/>
          <w:color w:val="78756E"/>
          <w:sz w:val="19"/>
        </w:rPr>
        <w:t>Freemium D2C, plus B2B hybrid.</w:t>
      </w: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YourDOST</w:t>
      </w:r>
      <w:r>
        <w:rPr>
          <w:rFonts w:ascii="Calibri" w:hAnsi="Calibri"/>
          <w:i/>
          <w:color w:val="78756E"/>
          <w:sz w:val="17"/>
        </w:rPr>
        <w:t xml:space="preserve">   India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24/7 chat, audio and video with counsellors, anonymity-first onboarding, self-help content, wellness assessments, on-campus counsellor visits, workshops and webinars, a telephonic crisis helpline, and admin dashboards for the institution.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Subscription B2B to campuses and corporates; free at the point of use for the student. Deployed at IIT Bombay, IIT Kharagpur, IIT (ISM) Dhanbad, IIT Goa, NIT Rourkela, NIT Kurukshetra and others. FY24 revenue ₹19.46 Cr; total funding $1.71M across three rounds.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Amaha (ex-InnerHour)</w:t>
      </w:r>
      <w:r>
        <w:rPr>
          <w:rFonts w:ascii="Calibri" w:hAnsi="Calibri"/>
          <w:i/>
          <w:color w:val="78756E"/>
          <w:sz w:val="17"/>
        </w:rPr>
        <w:t xml:space="preserve">   India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500+ self-help tools, six structured courses (depression, anxiety, sleep, stress, anger, happiness), mood tracking, guided breathwork and visualisation, sleep tools, small-group Mental Health Circles, a 50,000-member community, plus therapy and psychiatry online and at physical centres.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Freemium D2C funnel converting into paid clinical services, with a B2B arm. Free self-help; therapy ~₹1,500–3,000+/session; psychiatry billed separately. 6M+ app users, 220k+ sessions delivered; FY24 revenue ₹22.76 Cr.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Lissun</w:t>
      </w:r>
      <w:r>
        <w:rPr>
          <w:rFonts w:ascii="Calibri" w:hAnsi="Calibri"/>
          <w:i/>
          <w:color w:val="78756E"/>
          <w:sz w:val="17"/>
        </w:rPr>
        <w:t xml:space="preserve">   India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App plus physical centres, hospital partnerships, and a corporate arm; strong child and family focus.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Omnichannel: digital front end, physical clinics, institutional contracts. $10.7M raised across 7 rounds from 87 investors; $2.5M pre-Series A led by RPSG Capital Ventures; acquired US startup Being Cares Inc. in July 2025.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Rocket Health</w:t>
      </w:r>
      <w:r>
        <w:rPr>
          <w:rFonts w:ascii="Calibri" w:hAnsi="Calibri"/>
          <w:i/>
          <w:color w:val="78756E"/>
          <w:sz w:val="17"/>
        </w:rPr>
        <w:t xml:space="preserve">   India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Online therapy and psychiatry; after a first consultation the user gets a personalised care roadmap and chooses single sessions or bundles.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Low-price D2C teletherapy, founded 2021. Sessions from ₹1,000.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Mpower</w:t>
      </w:r>
      <w:r>
        <w:rPr>
          <w:rFonts w:ascii="Calibri" w:hAnsi="Calibri"/>
          <w:i/>
          <w:color w:val="78756E"/>
          <w:sz w:val="17"/>
        </w:rPr>
        <w:t xml:space="preserve">   India · Aditya Birla Education Trust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Centres of excellence, foundation clinics in Mumbai and Virar, a helpline, and school and college outreach programmes.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Philanthropically backed clinical services and outreach. Founded 2016 by Neerja Birla; stated goal of impacting 150 million lives by 2030.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1to1help</w:t>
      </w:r>
      <w:r>
        <w:rPr>
          <w:rFonts w:ascii="Calibri" w:hAnsi="Calibri"/>
          <w:i/>
          <w:color w:val="78756E"/>
          <w:sz w:val="17"/>
        </w:rPr>
        <w:t xml:space="preserve">   India · EAP incumbent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Employee Assistance Programme: counselling, crisis response, wellbeing content, manager training, organisational reporting.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Annual contract priced per covered life, varying by organisation size, feature set and service level. Founded 2001; 800+ corporates, 65+ cities, 2.7M employees covered.</w:t>
      </w:r>
    </w:p>
    <w:p>
      <w:pPr>
        <w:spacing w:before="0" w:after="200"/>
        <w:pBdr>
          <w:bottom w:val="single" w:sz="4" w:space="1" w:color="DDDAD3"/>
        </w:pBdr>
      </w:pPr>
    </w:p>
    <w:p>
      <w:pPr>
        <w:spacing w:before="520" w:after="240"/>
        <w:pBdr>
          <w:bottom w:val="single" w:sz="14" w:space="1" w:color="14120F"/>
        </w:pBdr>
      </w:pPr>
      <w:r>
        <w:rPr>
          <w:rFonts w:ascii="Garamond" w:hAnsi="Garamond"/>
          <w:b/>
          <w:color w:val="14120F"/>
          <w:sz w:val="34"/>
        </w:rPr>
        <w:t>5. Public Infrastructure</w:t>
      </w:r>
    </w:p>
    <w:p>
      <w:pPr>
        <w:spacing w:before="0" w:after="200"/>
      </w:pPr>
      <w:r>
        <w:rPr>
          <w:rFonts w:ascii="Garamond" w:hAnsi="Garamond"/>
          <w:color w:val="78756E"/>
          <w:sz w:val="19"/>
        </w:rPr>
        <w:t>State-funded, free, mandated.</w:t>
      </w:r>
    </w:p>
    <w:p>
      <w:pPr>
        <w:spacing w:before="240" w:after="20"/>
      </w:pPr>
      <w:r>
        <w:rPr>
          <w:rFonts w:ascii="Garamond" w:hAnsi="Garamond"/>
          <w:b/>
          <w:color w:val="A80E13"/>
          <w:sz w:val="27"/>
        </w:rPr>
        <w:t>Tele-MANAS · 14416</w:t>
      </w:r>
      <w:r>
        <w:rPr>
          <w:rFonts w:ascii="Calibri" w:hAnsi="Calibri"/>
          <w:i/>
          <w:color w:val="78756E"/>
          <w:sz w:val="17"/>
        </w:rPr>
        <w:t xml:space="preserve">   Government of India</w:t>
      </w:r>
    </w:p>
    <w:p>
      <w:pPr>
        <w:spacing w:before="40" w:after="80"/>
      </w:pPr>
      <w:r>
        <w:rPr>
          <w:rFonts w:ascii="Calibri" w:hAnsi="Calibri"/>
          <w:b/>
          <w:color w:val="14120F"/>
          <w:sz w:val="17"/>
        </w:rPr>
        <w:t xml:space="preserve">Ships. </w:t>
      </w:r>
      <w:r>
        <w:rPr>
          <w:rFonts w:ascii="Garamond" w:hAnsi="Garamond"/>
          <w:color w:val="46443F"/>
          <w:sz w:val="21"/>
        </w:rPr>
        <w:t>A two-tier service: trained counsellors provide first-level emotional support, psychosocial counselling and referral; psychiatrists and clinical psychologists are reachable at tier two through eSanjeevani. Free, 24×7, in 20 languages.</w:t>
      </w:r>
    </w:p>
    <w:p>
      <w:pPr>
        <w:spacing w:before="0" w:after="200"/>
      </w:pPr>
      <w:r>
        <w:rPr>
          <w:rFonts w:ascii="Calibri" w:hAnsi="Calibri"/>
          <w:b/>
          <w:color w:val="14120F"/>
          <w:sz w:val="17"/>
        </w:rPr>
        <w:t xml:space="preserve">Business model. </w:t>
      </w:r>
      <w:r>
        <w:rPr>
          <w:rFonts w:ascii="Garamond" w:hAnsi="Garamond"/>
          <w:color w:val="46443F"/>
          <w:sz w:val="21"/>
        </w:rPr>
        <w:t>Fully state-funded. Not a commercial competitor. Launched 10 October 2022; 29.82 lakh calls handled as of November 2025 (12.33 lakh in 2025 alone), across 53 cells.</w:t>
      </w:r>
    </w:p>
    <w:p>
      <w:pPr>
        <w:spacing w:before="0" w:after="200"/>
        <w:pBdr>
          <w:bottom w:val="single" w:sz="4" w:space="1" w:color="DDDAD3"/>
        </w:pBdr>
      </w:pPr>
    </w:p>
    <w:sectPr w:rsidR="00FC693F" w:rsidRPr="0006063C" w:rsidSect="00034616">
      <w:pgSz w:w="12240" w:h="15840"/>
      <w:pgMar w:top="1080" w:right="1260" w:bottom="108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