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PR 1:</w:t>
      </w:r>
      <w:r>
        <w:t xml:space="preserve"> </w:t>
      </w:r>
      <w:r>
        <w:rPr>
          <w:rStyle w:val="VerbatimChar"/>
        </w:rPr>
        <w:t xml:space="preserve">moi</w:t>
      </w:r>
      <w:r>
        <w:t xml:space="preserve"> </w:t>
      </w:r>
      <w:r>
        <w:t xml:space="preserve">namespace for the Chain Agnostic Standards Alliance</w:t>
      </w:r>
    </w:p>
    <w:p>
      <w:pPr>
        <w:pStyle w:val="FirstParagraph"/>
      </w:pPr>
      <w:r>
        <w:rPr>
          <w:i/>
          <w:iCs/>
        </w:rPr>
        <w:t xml:space="preserve">Review document, 10 September 2026. Prepared for internal review before filing.</w:t>
      </w:r>
    </w:p>
    <w:p>
      <w:pPr>
        <w:pStyle w:val="Heading2"/>
      </w:pPr>
      <w:r>
        <w:t xml:space="preserve">Page 1: what this PR is</w:t>
      </w:r>
    </w:p>
    <w:p>
      <w:pPr>
        <w:pStyle w:val="FirstParagraph"/>
      </w:pPr>
      <w:r>
        <w:rPr>
          <w:b/>
          <w:bCs/>
        </w:rPr>
        <w:t xml:space="preserve">Target repository:</w:t>
      </w:r>
      <w:r>
        <w:t xml:space="preserve"> </w:t>
      </w:r>
      <w:r>
        <w:rPr>
          <w:rStyle w:val="VerbatimChar"/>
        </w:rPr>
        <w:t xml:space="preserve">ChainAgnostic/namespaces</w:t>
      </w:r>
      <w:r>
        <w:t xml:space="preserve"> </w:t>
      </w:r>
      <w:r>
        <w:t xml:space="preserve">(public). New directory</w:t>
      </w:r>
      <w:r>
        <w:t xml:space="preserve"> </w:t>
      </w:r>
      <w:r>
        <w:rPr>
          <w:rStyle w:val="VerbatimChar"/>
        </w:rPr>
        <w:t xml:space="preserve">namespaces/moi/</w:t>
      </w:r>
      <w:r>
        <w:t xml:space="preserve"> </w:t>
      </w:r>
      <w:r>
        <w:t xml:space="preserve">with two files.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moi</w:t>
      </w:r>
      <w:r>
        <w:t xml:space="preserve"> </w:t>
      </w:r>
      <w:r>
        <w:t xml:space="preserve">namespace (CAIP-104 profile + CAIP-2 chains profile)</w:t>
      </w:r>
    </w:p>
    <w:p>
      <w:pPr>
        <w:pStyle w:val="BodyText"/>
      </w:pPr>
      <w:r>
        <w:rPr>
          <w:b/>
          <w:bCs/>
        </w:rPr>
        <w:t xml:space="preserve">Why it exists:</w:t>
      </w:r>
      <w:r>
        <w:t xml:space="preserve"> </w:t>
      </w:r>
      <w:r>
        <w:t xml:space="preserve">x402 v2 names networks by CAIP-2 identifier (</w:t>
      </w:r>
      <w:r>
        <w:rPr>
          <w:rStyle w:val="VerbatimChar"/>
        </w:rPr>
        <w:t xml:space="preserve">moi:devnet</w:t>
      </w:r>
      <w:r>
        <w:t xml:space="preserve">). Nothing can use that string with confidence until the</w:t>
      </w:r>
      <w:r>
        <w:t xml:space="preserve"> </w:t>
      </w:r>
      <w:r>
        <w:rPr>
          <w:rStyle w:val="VerbatimChar"/>
        </w:rPr>
        <w:t xml:space="preserve">moi</w:t>
      </w:r>
      <w:r>
        <w:t xml:space="preserve"> </w:t>
      </w:r>
      <w:r>
        <w:t xml:space="preserve">namespace is registered with CASA. This PR is filed first; the scheme spec (PR 2) and the package (PR 3) reference it and wait for it.</w:t>
      </w:r>
    </w:p>
    <w:p>
      <w:pPr>
        <w:pStyle w:val="Heading3"/>
      </w:pPr>
      <w:r>
        <w:t xml:space="preserve">High-level requirements</w:t>
      </w:r>
    </w:p>
    <w:p>
      <w:pPr>
        <w:pStyle w:val="FirstParagraph"/>
      </w:pPr>
      <w:r>
        <w:t xml:space="preserve">CASA’s</w:t>
      </w:r>
      <w:r>
        <w:t xml:space="preserve"> </w:t>
      </w:r>
      <w:r>
        <w:rPr>
          <w:rStyle w:val="VerbatimChar"/>
        </w:rPr>
        <w:t xml:space="preserve">_template/</w:t>
      </w:r>
      <w:r>
        <w:t xml:space="preserve"> </w:t>
      </w:r>
      <w:r>
        <w:t xml:space="preserve">defines both files. Modelled on the accepted</w:t>
      </w:r>
      <w:r>
        <w:t xml:space="preserve"> </w:t>
      </w:r>
      <w:r>
        <w:rPr>
          <w:rStyle w:val="VerbatimChar"/>
        </w:rPr>
        <w:t xml:space="preserve">stellar</w:t>
      </w:r>
      <w:r>
        <w:t xml:space="preserve">,</w:t>
      </w:r>
      <w:r>
        <w:t xml:space="preserve"> </w:t>
      </w:r>
      <w:r>
        <w:rPr>
          <w:rStyle w:val="VerbatimChar"/>
        </w:rPr>
        <w:t xml:space="preserve">aptos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neo</w:t>
      </w:r>
      <w:r>
        <w:t xml:space="preserve"> </w:t>
      </w:r>
      <w:r>
        <w:t xml:space="preserve">profiles.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namespaces/moi/README.md</w:t>
            </w:r>
          </w:p>
        </w:tc>
        <w:tc>
          <w:tcPr/>
          <w:p>
            <w:pPr>
              <w:pStyle w:val="Compact"/>
            </w:pPr>
            <w:r>
              <w:t xml:space="preserve">CAIP-104 namespace profile: what</w:t>
            </w:r>
            <w:r>
              <w:t xml:space="preserve"> </w:t>
            </w:r>
            <w:r>
              <w:rPr>
                <w:rStyle w:val="VerbatimChar"/>
              </w:rPr>
              <w:t xml:space="preserve">moi</w:t>
            </w:r>
            <w:r>
              <w:t xml:space="preserve"> </w:t>
            </w:r>
            <w:r>
              <w:t xml:space="preserve">covers and who maintains it</w:t>
            </w:r>
          </w:p>
        </w:tc>
        <w:tc>
          <w:tcPr/>
          <w:p>
            <w:pPr>
              <w:pStyle w:val="Compact"/>
            </w:pPr>
            <w:r>
              <w:t xml:space="preserve">YAML frontmatter (</w:t>
            </w:r>
            <w:r>
              <w:rPr>
                <w:rStyle w:val="VerbatimChar"/>
              </w:rPr>
              <w:t xml:space="preserve">namespace-identifier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requires</w:t>
            </w:r>
            <w:r>
              <w:t xml:space="preserve">); introduction; Rationale; Governance; References; Copyright (CC0)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namespaces/moi/caip2.md</w:t>
            </w:r>
          </w:p>
        </w:tc>
        <w:tc>
          <w:tcPr/>
          <w:p>
            <w:pPr>
              <w:pStyle w:val="Compact"/>
            </w:pPr>
            <w:r>
              <w:t xml:space="preserve">CAIP-2 chains profile: how a MOI network is identified</w:t>
            </w:r>
          </w:p>
        </w:tc>
        <w:tc>
          <w:tcPr/>
          <w:p>
            <w:pPr>
              <w:pStyle w:val="Compact"/>
            </w:pPr>
            <w:r>
              <w:t xml:space="preserve">YAML frontmatter (adds</w:t>
            </w:r>
            <w:r>
              <w:t xml:space="preserve"> </w:t>
            </w:r>
            <w:r>
              <w:rPr>
                <w:rStyle w:val="VerbatimChar"/>
              </w:rPr>
              <w:t xml:space="preserve">discussions-to</w:t>
            </w:r>
            <w:r>
              <w:t xml:space="preserve">); Introduction; Specification with Semantics, Syntax, Well-known networks, Resolution Mechanics; Rationale; Backwards Compatibility; Test Cases (valid and invalid); Security Considerations; References; Copyright</w:t>
            </w:r>
          </w:p>
        </w:tc>
      </w:tr>
    </w:tbl>
    <w:p>
      <w:pPr>
        <w:pStyle w:val="Heading3"/>
      </w:pPr>
      <w:r>
        <w:t xml:space="preserve">Status</w:t>
      </w:r>
    </w:p>
    <w:p>
      <w:pPr>
        <w:pStyle w:val="Compact"/>
        <w:numPr>
          <w:ilvl w:val="0"/>
          <w:numId w:val="1001"/>
        </w:numPr>
      </w:pPr>
      <w:r>
        <w:t xml:space="preserve">Both files drafted and self-consistent; syntax regex, test cases and rationale corrected on 10 September.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Blocking:</w:t>
      </w:r>
      <w:r>
        <w:t xml:space="preserve"> </w:t>
      </w:r>
      <w:r>
        <w:t xml:space="preserve">Resolution Mechanics needs the network-identity RPC the protocol team is adding. No merged namespace has filed without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Blocking, same dependency:</w:t>
      </w:r>
      <w:r>
        <w:t xml:space="preserve"> </w:t>
      </w:r>
      <w:r>
        <w:t xml:space="preserve">the reference format. Names (</w:t>
      </w:r>
      <w:r>
        <w:rPr>
          <w:rStyle w:val="VerbatimChar"/>
        </w:rPr>
        <w:t xml:space="preserve">moi:devnet</w:t>
      </w:r>
      <w:r>
        <w:t xml:space="preserve">) today; if the RPC exposes a stable numeric chain id, the reference becomes numeric (</w:t>
      </w:r>
      <w:r>
        <w:rPr>
          <w:rStyle w:val="VerbatimChar"/>
        </w:rPr>
        <w:t xml:space="preserve">moi:112</w:t>
      </w:r>
      <w:r>
        <w:t xml:space="preserve">) and the changes listed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apply to this PR, to PR 2 and to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 </w:t>
      </w:r>
      <w:r>
        <w:t xml:space="preserve">in PR 3.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discussions-to</w:t>
      </w:r>
      <w:r>
        <w:t xml:space="preserve"> </w:t>
      </w:r>
      <w:r>
        <w:t xml:space="preserve">is the PR’s own URL, filled in once opened. Whoever owns it must watch it.</w:t>
      </w:r>
    </w:p>
    <w:p>
      <w:pPr>
        <w:pStyle w:val="Compact"/>
        <w:numPr>
          <w:ilvl w:val="0"/>
          <w:numId w:val="1001"/>
        </w:numPr>
      </w:pPr>
      <w:r>
        <w:t xml:space="preserve">MOI Wallet currently uses</w:t>
      </w:r>
      <w:r>
        <w:t xml:space="preserve"> </w:t>
      </w:r>
      <w:r>
        <w:rPr>
          <w:rStyle w:val="VerbatimChar"/>
        </w:rPr>
        <w:t xml:space="preserve">moi:14</w:t>
      </w:r>
      <w:r>
        <w:t xml:space="preserve">; the namespace must reconcile with the wallet before filing.</w:t>
      </w:r>
    </w:p>
    <w:p>
      <w:pPr>
        <w:pStyle w:val="Heading3"/>
      </w:pPr>
      <w:r>
        <w:t xml:space="preserve">Index</w:t>
      </w:r>
    </w:p>
    <w:p>
      <w:pPr>
        <w:pStyle w:val="Compact"/>
        <w:numPr>
          <w:ilvl w:val="0"/>
          <w:numId w:val="1002"/>
        </w:numPr>
      </w:pPr>
      <w:r>
        <w:t xml:space="preserve">PR description (as it will be posted)</w:t>
      </w:r>
    </w:p>
    <w:p>
      <w:pPr>
        <w:pStyle w:val="Compact"/>
        <w:numPr>
          <w:ilvl w:val="0"/>
          <w:numId w:val="1002"/>
        </w:numPr>
      </w:pPr>
      <w:r>
        <w:t xml:space="preserve">File:</w:t>
      </w:r>
      <w:r>
        <w:t xml:space="preserve"> </w:t>
      </w:r>
      <w:r>
        <w:rPr>
          <w:rStyle w:val="VerbatimChar"/>
        </w:rPr>
        <w:t xml:space="preserve">namespaces/moi/README.md</w:t>
      </w:r>
      <w:r>
        <w:t xml:space="preserve">, with context notes per section</w:t>
      </w:r>
    </w:p>
    <w:p>
      <w:pPr>
        <w:pStyle w:val="Compact"/>
        <w:numPr>
          <w:ilvl w:val="0"/>
          <w:numId w:val="1002"/>
        </w:numPr>
      </w:pPr>
      <w:r>
        <w:t xml:space="preserve">File:</w:t>
      </w:r>
      <w:r>
        <w:t xml:space="preserve"> </w:t>
      </w:r>
      <w:r>
        <w:rPr>
          <w:rStyle w:val="VerbatimChar"/>
        </w:rPr>
        <w:t xml:space="preserve">namespaces/moi/caip2.md</w:t>
      </w:r>
      <w:r>
        <w:t xml:space="preserve">, with context notes per section</w:t>
      </w:r>
    </w:p>
    <w:p>
      <w:pPr>
        <w:pStyle w:val="Compact"/>
        <w:numPr>
          <w:ilvl w:val="0"/>
          <w:numId w:val="1002"/>
        </w:numPr>
      </w:pPr>
      <w:r>
        <w:t xml:space="preserve">Open decisions (from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)</w:t>
      </w:r>
    </w:p>
    <w:p>
      <w:r>
        <w:br w:type="page"/>
      </w:r>
    </w:p>
    <w:p>
      <w:pPr>
        <w:pStyle w:val="Heading2"/>
      </w:pPr>
      <w:r>
        <w:t xml:space="preserve">1. PR description</w:t>
      </w:r>
    </w:p>
    <w:p>
      <w:pPr>
        <w:pStyle w:val="Heading3"/>
      </w:pPr>
      <w:r>
        <w:t xml:space="preserve">PR description — ChainAgnostic/namespaces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moi</w:t>
      </w:r>
      <w:r>
        <w:t xml:space="preserve"> </w:t>
      </w:r>
      <w:r>
        <w:t xml:space="preserve">namespace (CAIP-104 profile + CAIP-2 chains profile)</w:t>
      </w:r>
    </w:p>
    <w:p>
      <w:pPr>
        <w:pStyle w:val="BodyText"/>
      </w:pPr>
      <w:r>
        <w:t xml:space="preserve">This PR adds a namespace profile for MOI, an account-centric protocol in which each participant</w:t>
      </w:r>
      <w:r>
        <w:t xml:space="preserve"> </w:t>
      </w:r>
      <w:r>
        <w:t xml:space="preserve">account holds its own state and tesseract sequence. Because there is no chain-wide genesis</w:t>
      </w:r>
      <w:r>
        <w:t xml:space="preserve"> </w:t>
      </w:r>
      <w:r>
        <w:t xml:space="preserve">artefact, the CAIP-2 reference is a short network name (pending: the protocol team is adding a</w:t>
      </w:r>
      <w:r>
        <w:t xml:space="preserve"> </w:t>
      </w:r>
      <w:r>
        <w:t xml:space="preserve">chain-id RPC, and the reference format will be confirmed against it before this PR is opened).</w:t>
      </w:r>
    </w:p>
    <w:p>
      <w:pPr>
        <w:pStyle w:val="BodyText"/>
      </w:pPr>
      <w:r>
        <w:t xml:space="preserve">Files follow</w:t>
      </w:r>
      <w:r>
        <w:t xml:space="preserve"> </w:t>
      </w:r>
      <w:r>
        <w:rPr>
          <w:rStyle w:val="VerbatimChar"/>
        </w:rPr>
        <w:t xml:space="preserve">_template/</w:t>
      </w:r>
      <w:r>
        <w:t xml:space="preserve">, modelled on the accepted</w:t>
      </w:r>
      <w:r>
        <w:t xml:space="preserve"> </w:t>
      </w:r>
      <w:r>
        <w:rPr>
          <w:rStyle w:val="VerbatimChar"/>
        </w:rPr>
        <w:t xml:space="preserve">stellar</w:t>
      </w:r>
      <w:r>
        <w:t xml:space="preserve">,</w:t>
      </w:r>
      <w:r>
        <w:t xml:space="preserve"> </w:t>
      </w:r>
      <w:r>
        <w:rPr>
          <w:rStyle w:val="VerbatimChar"/>
        </w:rPr>
        <w:t xml:space="preserve">aptos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neo</w:t>
      </w:r>
      <w:r>
        <w:t xml:space="preserve"> </w:t>
      </w:r>
      <w:r>
        <w:t xml:space="preserve">profiles.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author</w:t>
      </w:r>
      <w:r>
        <w:t xml:space="preserve">: Adithya Ganesh (</w:t>
      </w:r>
      <w:r>
        <w:t xml:space="preserve">@sarvalabs-adithya</w:t>
      </w:r>
      <w:r>
        <w:t xml:space="preserve">) — this person answers CASA’s comments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discussions-to</w:t>
      </w:r>
      <w:r>
        <w:t xml:space="preserve"> </w:t>
      </w:r>
      <w:r>
        <w:t xml:space="preserve">URL created and monitored</w:t>
      </w:r>
    </w:p>
    <w:p>
      <w:pPr>
        <w:pStyle w:val="Compact"/>
        <w:numPr>
          <w:ilvl w:val="0"/>
          <w:numId w:val="1005"/>
        </w:numPr>
      </w:pPr>
      <w:r>
        <w:t xml:space="preserve">Reference format confirmed against the protocol chain-id PR</w:t>
      </w:r>
    </w:p>
    <w:p>
      <w:pPr>
        <w:pStyle w:val="Compact"/>
        <w:numPr>
          <w:ilvl w:val="0"/>
          <w:numId w:val="1006"/>
        </w:numPr>
      </w:pPr>
      <w:r>
        <w:t xml:space="preserve">Internal review (Rahul) complete</w:t>
      </w:r>
    </w:p>
    <w:p>
      <w:pPr>
        <w:pStyle w:val="FirstParagraph"/>
      </w:pPr>
      <w:r>
        <w:t xml:space="preserve">Drafted with AI assistance; reviewed by the listed author.</w:t>
      </w:r>
    </w:p>
    <w:p>
      <w:r>
        <w:br w:type="page"/>
      </w:r>
    </w:p>
    <w:p>
      <w:pPr>
        <w:pStyle w:val="Heading2"/>
      </w:pPr>
      <w:r>
        <w:t xml:space="preserve">2. File:</w:t>
      </w:r>
      <w:r>
        <w:t xml:space="preserve"> </w:t>
      </w:r>
      <w:r>
        <w:rPr>
          <w:rStyle w:val="VerbatimChar"/>
        </w:rPr>
        <w:t xml:space="preserve">namespaces/moi/README.md</w:t>
      </w:r>
    </w:p>
    <w:p>
      <w:pPr>
        <w:pStyle w:val="FirstParagraph"/>
      </w:pPr>
      <w:r>
        <w:rPr>
          <w:b/>
          <w:bCs/>
        </w:rPr>
        <w:t xml:space="preserve">Frontmatter</w:t>
      </w:r>
      <w:r>
        <w:t xml:space="preserve"> </w:t>
      </w:r>
      <w:r>
        <w:t xml:space="preserve">(YAML header CASA parses):</w:t>
      </w:r>
    </w:p>
    <w:p>
      <w:pPr>
        <w:pStyle w:val="SourceCode"/>
      </w:pPr>
      <w:r>
        <w:rPr>
          <w:rStyle w:val="VerbatimChar"/>
        </w:rPr>
        <w:t xml:space="preserve">namespace-identifier: moi</w:t>
      </w:r>
      <w:r>
        <w:br/>
      </w:r>
      <w:r>
        <w:rPr>
          <w:rStyle w:val="VerbatimChar"/>
        </w:rPr>
        <w:t xml:space="preserve">title: MOI Ecosystem</w:t>
      </w:r>
      <w:r>
        <w:br/>
      </w:r>
      <w:r>
        <w:rPr>
          <w:rStyle w:val="VerbatimChar"/>
        </w:rPr>
        <w:t xml:space="preserve">author: ["Adithya Ganesh (@sarvalabs-adithya)"]</w:t>
      </w:r>
      <w:r>
        <w:br/>
      </w:r>
      <w:r>
        <w:rPr>
          <w:rStyle w:val="VerbatimChar"/>
        </w:rPr>
        <w:t xml:space="preserve">status: Draft</w:t>
      </w:r>
      <w:r>
        <w:br/>
      </w:r>
      <w:r>
        <w:rPr>
          <w:rStyle w:val="VerbatimChar"/>
        </w:rPr>
        <w:t xml:space="preserve">type: Informational</w:t>
      </w:r>
      <w:r>
        <w:br/>
      </w:r>
      <w:r>
        <w:rPr>
          <w:rStyle w:val="VerbatimChar"/>
        </w:rPr>
        <w:t xml:space="preserve">created: 2026-08-08</w:t>
      </w:r>
      <w:r>
        <w:br/>
      </w:r>
      <w:r>
        <w:rPr>
          <w:rStyle w:val="VerbatimChar"/>
        </w:rPr>
        <w:t xml:space="preserve">requires: ["CAIP-2"]</w:t>
      </w:r>
    </w:p>
    <w:p>
      <w:pPr>
        <w:pStyle w:val="Heading3"/>
      </w:pPr>
      <w:r>
        <w:t xml:space="preserve">Namespace for MOI Chains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This is the CAIP-104 namespace profile, the file CASA reads first. It has to say what the namespace covers and, for MOI, explain the one structural difference (account-centric, no global chain) that every later choice depends on.</w:t>
      </w:r>
    </w:p>
    <w:p>
      <w:pPr>
        <w:pStyle w:val="FirstParagraph"/>
      </w:pPr>
      <w:r>
        <w:t xml:space="preserve">The namespace</w:t>
      </w:r>
      <w:r>
        <w:t xml:space="preserve"> </w:t>
      </w:r>
      <w:r>
        <w:rPr>
          <w:rStyle w:val="VerbatimChar"/>
        </w:rPr>
        <w:t xml:space="preserve">moi</w:t>
      </w:r>
      <w:r>
        <w:t xml:space="preserve"> </w:t>
      </w:r>
      <w:r>
        <w:t xml:space="preserve">refers to the wider MOI ecosystem, including public networks such as the</w:t>
      </w:r>
      <w:r>
        <w:t xml:space="preserve"> </w:t>
      </w:r>
      <w:r>
        <w:t xml:space="preserve">Voyage devnet and any private deployment of the MOI protocol.</w:t>
      </w:r>
    </w:p>
    <w:p>
      <w:pPr>
        <w:pStyle w:val="BodyText"/>
      </w:pPr>
      <w:r>
        <w:t xml:space="preserve">MOI differs from account-balance chains in one way that matters when reading the rest of these</w:t>
      </w:r>
      <w:r>
        <w:t xml:space="preserve"> </w:t>
      </w:r>
      <w:r>
        <w:t xml:space="preserve">profiles: it is</w:t>
      </w:r>
      <w:r>
        <w:t xml:space="preserve"> </w:t>
      </w:r>
      <w:r>
        <w:rPr>
          <w:b/>
          <w:bCs/>
        </w:rPr>
        <w:t xml:space="preserve">account-centric</w:t>
      </w:r>
      <w:r>
        <w:t xml:space="preserve">. There is no single global chain of blocks. Each participant</w:t>
      </w:r>
      <w:r>
        <w:t xml:space="preserve"> </w:t>
      </w:r>
      <w:r>
        <w:t xml:space="preserve">account holds its own sequence of</w:t>
      </w:r>
      <w:r>
        <w:t xml:space="preserve"> </w:t>
      </w:r>
      <w:r>
        <w:rPr>
          <w:i/>
          <w:iCs/>
        </w:rPr>
        <w:t xml:space="preserve">tesseracts</w:t>
      </w:r>
      <w:r>
        <w:t xml:space="preserve">, and an</w:t>
      </w:r>
      <w:r>
        <w:t xml:space="preserve"> </w:t>
      </w:r>
      <w:r>
        <w:rPr>
          <w:i/>
          <w:iCs/>
        </w:rPr>
        <w:t xml:space="preserve">interaction</w:t>
      </w:r>
      <w:r>
        <w:t xml:space="preserve"> </w:t>
      </w:r>
      <w:r>
        <w:t xml:space="preserve">is the signed unit that moves</w:t>
      </w:r>
      <w:r>
        <w:t xml:space="preserve"> </w:t>
      </w:r>
      <w:r>
        <w:t xml:space="preserve">state. Consequently there is no chain-wide genesis block whose hash could serve as a network</w:t>
      </w:r>
      <w:r>
        <w:t xml:space="preserve"> </w:t>
      </w:r>
      <w:r>
        <w:t xml:space="preserve">reference, which is why the CAIP-2 profile uses a named reference rather than a hash.</w:t>
      </w:r>
    </w:p>
    <w:p>
      <w:pPr>
        <w:pStyle w:val="BodyText"/>
      </w:pPr>
      <w:r>
        <w:t xml:space="preserve">This namespace currently profiles CAIP-2 (chain identification). Profiles for other CAIPs, such</w:t>
      </w:r>
      <w:r>
        <w:t xml:space="preserve"> </w:t>
      </w:r>
      <w:r>
        <w:t xml:space="preserve">as CAIP-10 (accounts) and CAIP-19 (assets), may be added later.</w:t>
      </w:r>
    </w:p>
    <w:p>
      <w:pPr>
        <w:pStyle w:val="Heading4"/>
      </w:pPr>
      <w:r>
        <w:t xml:space="preserve">Rationale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Why</w:t>
      </w:r>
      <w:r>
        <w:t xml:space="preserve"> </w:t>
      </w:r>
      <w:r>
        <w:rPr>
          <w:rStyle w:val="VerbatimChar"/>
        </w:rPr>
        <w:t xml:space="preserve">moi</w:t>
      </w:r>
      <w:r>
        <w:t xml:space="preserve"> </w:t>
      </w:r>
      <w:r>
        <w:t xml:space="preserve">cannot reuse the two common reference conventions (</w:t>
      </w:r>
      <w:r>
        <w:rPr>
          <w:rStyle w:val="VerbatimChar"/>
        </w:rPr>
        <w:t xml:space="preserve">eip155</w:t>
      </w:r>
      <w:r>
        <w:t xml:space="preserve"> </w:t>
      </w:r>
      <w:r>
        <w:t xml:space="preserve">chain id,</w:t>
      </w:r>
      <w:r>
        <w:t xml:space="preserve"> </w:t>
      </w:r>
      <w:r>
        <w:rPr>
          <w:rStyle w:val="VerbatimChar"/>
        </w:rPr>
        <w:t xml:space="preserve">solana</w:t>
      </w:r>
      <w:r>
        <w:t xml:space="preserve"> </w:t>
      </w:r>
      <w:r>
        <w:t xml:space="preserve">genesis hash) and why identifiers are not EVM-shaped. Corrected on 10 September: the old text claimed no genesis artefact exists at all, which was too strong.</w:t>
      </w:r>
    </w:p>
    <w:p>
      <w:pPr>
        <w:pStyle w:val="FirstParagraph"/>
      </w:pPr>
      <w:r>
        <w:t xml:space="preserve">Most namespaces in this registry describe chains that keep one global ledger: a single ordered</w:t>
      </w:r>
      <w:r>
        <w:t xml:space="preserve"> </w:t>
      </w:r>
      <w:r>
        <w:t xml:space="preserve">chain of blocks, a genesis hash, and often a numeric chain id. MOI has none of these, and the</w:t>
      </w:r>
      <w:r>
        <w:t xml:space="preserve"> </w:t>
      </w:r>
      <w:r>
        <w:t xml:space="preserve">identifiers in this namespace reflect that.</w:t>
      </w:r>
    </w:p>
    <w:p>
      <w:pPr>
        <w:pStyle w:val="BodyText"/>
      </w:pPr>
      <w:r>
        <w:t xml:space="preserve">MOI is account-centric. Each participant account carries its own state and its own ordered</w:t>
      </w:r>
      <w:r>
        <w:t xml:space="preserve"> </w:t>
      </w:r>
      <w:r>
        <w:t xml:space="preserve">sequence of tesseracts — per-account state checkpoints — rather than a position in one shared</w:t>
      </w:r>
      <w:r>
        <w:t xml:space="preserve"> </w:t>
      </w:r>
      <w:r>
        <w:t xml:space="preserve">chain. State changes travel as interactions, envelopes signed whole by the submitting account</w:t>
      </w:r>
      <w:r>
        <w:t xml:space="preserve"> </w:t>
      </w:r>
      <w:r>
        <w:t xml:space="preserve">(ECDSA over secp256k1). Because tesseracts are per-account, there is no chain-wide genesis block</w:t>
      </w:r>
      <w:r>
        <w:t xml:space="preserve"> </w:t>
      </w:r>
      <w:r>
        <w:t xml:space="preserve">to hash. The protocol also exposes no chain id on the wire: the client SDK defines a numeric</w:t>
      </w:r>
      <w:r>
        <w:t xml:space="preserve"> </w:t>
      </w:r>
      <w:r>
        <w:rPr>
          <w:rStyle w:val="VerbatimChar"/>
        </w:rPr>
        <w:t xml:space="preserve">Chain</w:t>
      </w:r>
      <w:r>
        <w:t xml:space="preserve"> </w:t>
      </w:r>
      <w:r>
        <w:t xml:space="preserve">enum, but no RPC method or interaction field reads or emits it. Neither of the two most</w:t>
      </w:r>
      <w:r>
        <w:t xml:space="preserve"> </w:t>
      </w:r>
      <w:r>
        <w:t xml:space="preserve">common CAIP-2 reference conventions —</w:t>
      </w:r>
      <w:r>
        <w:t xml:space="preserve"> </w:t>
      </w:r>
      <w:r>
        <w:rPr>
          <w:rStyle w:val="VerbatimChar"/>
        </w:rPr>
        <w:t xml:space="preserve">eip155</w:t>
      </w:r>
      <w:r>
        <w:t xml:space="preserve">’s chain id or</w:t>
      </w:r>
      <w:r>
        <w:t xml:space="preserve"> </w:t>
      </w:r>
      <w:r>
        <w:rPr>
          <w:rStyle w:val="VerbatimChar"/>
        </w:rPr>
        <w:t xml:space="preserve">solana</w:t>
      </w:r>
      <w:r>
        <w:t xml:space="preserve">’s genesis hash — is usable</w:t>
      </w:r>
      <w:r>
        <w:t xml:space="preserve"> </w:t>
      </w:r>
      <w:r>
        <w:t xml:space="preserve">today, so the CAIP-2 profile uses a short, well-known network name, in the manner of the</w:t>
      </w:r>
      <w:r>
        <w:t xml:space="preserve"> </w:t>
      </w:r>
      <w:r>
        <w:rPr>
          <w:rStyle w:val="VerbatimChar"/>
        </w:rPr>
        <w:t xml:space="preserve">stellar</w:t>
      </w:r>
      <w:r>
        <w:t xml:space="preserve"> </w:t>
      </w:r>
      <w:r>
        <w:t xml:space="preserve">namespace.</w:t>
      </w:r>
    </w:p>
    <w:p>
      <w:pPr>
        <w:pStyle w:val="BodyText"/>
      </w:pPr>
      <w:r>
        <w:t xml:space="preserve">Identifiers are likewise not EVM-shaped. A participant identifier is 32 bytes: a tag byte naming</w:t>
      </w:r>
      <w:r>
        <w:t xml:space="preserve"> </w:t>
      </w:r>
      <w:r>
        <w:t xml:space="preserve">the identifier kind and version, a flags byte, a 24-byte fingerprint taken directly from the</w:t>
      </w:r>
      <w:r>
        <w:t xml:space="preserve"> </w:t>
      </w:r>
      <w:r>
        <w:t xml:space="preserve">account’s compressed public key, and a variant field carrying the sub-account index. Because it</w:t>
      </w:r>
      <w:r>
        <w:t xml:space="preserve"> </w:t>
      </w:r>
      <w:r>
        <w:t xml:space="preserve">is derived from the key rather than allocated by a network, the same identifier can exist on</w:t>
      </w:r>
      <w:r>
        <w:t xml:space="preserve"> </w:t>
      </w:r>
      <w:r>
        <w:t xml:space="preserve">every MOI network, which makes explicit network identification more important rather than less,</w:t>
      </w:r>
      <w:r>
        <w:t xml:space="preserve"> </w:t>
      </w:r>
      <w:r>
        <w:t xml:space="preserve">and is what this namespace provides. Assets are also protocol-native: a MAS0 asset is created by a protocol operation rather</w:t>
      </w:r>
      <w:r>
        <w:t xml:space="preserve"> </w:t>
      </w:r>
      <w:r>
        <w:t xml:space="preserve">than deployed as contract bytecode, and is addressed by its own 32-byte identifier.</w:t>
      </w:r>
    </w:p>
    <w:p>
      <w:pPr>
        <w:pStyle w:val="Heading4"/>
      </w:pPr>
      <w:r>
        <w:t xml:space="preserve">Governance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CASA asks who maintains the namespace and how changes are made. Public repos and the explorer are named; the private node repo is not mentioned. New network references need no profile change, which is why the CAIP-2 profile uses a syntax rule plus a well-known table.</w:t>
      </w:r>
    </w:p>
    <w:p>
      <w:pPr>
        <w:pStyle w:val="FirstParagraph"/>
      </w:pPr>
      <w:r>
        <w:t xml:space="preserve">The MOI protocol is designed and developed by</w:t>
      </w:r>
      <w:r>
        <w:t xml:space="preserve"> </w:t>
      </w:r>
      <w:hyperlink r:id="rId16">
        <w:r>
          <w:rPr>
            <w:rStyle w:val="Hyperlink"/>
          </w:rPr>
          <w:t xml:space="preserve">Sarva Labs</w:t>
        </w:r>
      </w:hyperlink>
      <w:r>
        <w:t xml:space="preserve">. The</w:t>
      </w:r>
      <w:r>
        <w:t xml:space="preserve"> </w:t>
      </w:r>
      <w:r>
        <w:t xml:space="preserve">reference client libraries, including</w:t>
      </w:r>
      <w:r>
        <w:t xml:space="preserve"> </w:t>
      </w:r>
      <w:hyperlink r:id="rId17">
        <w:r>
          <w:rPr>
            <w:rStyle w:val="Hyperlink"/>
          </w:rPr>
          <w:t xml:space="preserve">js-moi-sdk</w:t>
        </w:r>
      </w:hyperlink>
      <w:r>
        <w:t xml:space="preserve">, are maintained in public repositories</w:t>
      </w:r>
      <w:r>
        <w:t xml:space="preserve"> </w:t>
      </w:r>
      <w:r>
        <w:t xml:space="preserve">under that organization, where changes are proposed and reviewed as issues and pull requests. The public Voyage networks, their RPC endpoints and the</w:t>
      </w:r>
      <w:r>
        <w:t xml:space="preserve"> </w:t>
      </w:r>
      <w:hyperlink r:id="rId18">
        <w:r>
          <w:rPr>
            <w:rStyle w:val="Hyperlink"/>
          </w:rPr>
          <w:t xml:space="preserve">Voyage explorer</w:t>
        </w:r>
      </w:hyperlink>
      <w:r>
        <w:t xml:space="preserve"> </w:t>
      </w:r>
      <w:r>
        <w:t xml:space="preserve">are operated under the same stewardship, with</w:t>
      </w:r>
      <w:r>
        <w:t xml:space="preserve"> </w:t>
      </w:r>
      <w:r>
        <w:t xml:space="preserve">the MOI Foundation supporting the wider ecosystem.</w:t>
      </w:r>
    </w:p>
    <w:p>
      <w:pPr>
        <w:pStyle w:val="BodyText"/>
      </w:pPr>
      <w:r>
        <w:t xml:space="preserve">This namespace profile is maintained by its listed authors. Questions, corrections and proposed</w:t>
      </w:r>
      <w:r>
        <w:t xml:space="preserve"> </w:t>
      </w:r>
      <w:r>
        <w:t xml:space="preserve">changes should be raised at the</w:t>
      </w:r>
      <w:r>
        <w:t xml:space="preserve"> </w:t>
      </w:r>
      <w:r>
        <w:rPr>
          <w:rStyle w:val="VerbatimChar"/>
        </w:rPr>
        <w:t xml:space="preserve">discussions-to</w:t>
      </w:r>
      <w:r>
        <w:t xml:space="preserve"> </w:t>
      </w:r>
      <w:r>
        <w:t xml:space="preserve">URL carried in each profile, and changes to the</w:t>
      </w:r>
      <w:r>
        <w:t xml:space="preserve"> </w:t>
      </w:r>
      <w:r>
        <w:t xml:space="preserve">profile itself are made by pull request to</w:t>
      </w:r>
      <w:r>
        <w:t xml:space="preserve"> </w:t>
      </w:r>
      <w:r>
        <w:rPr>
          <w:rStyle w:val="VerbatimChar"/>
        </w:rPr>
        <w:t xml:space="preserve">ChainAgnostic/namespaces</w:t>
      </w:r>
      <w:r>
        <w:t xml:space="preserve">, following CASA’s own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New network references do not require changes to this profile: any reference that follows the</w:t>
      </w:r>
      <w:r>
        <w:t xml:space="preserve"> </w:t>
      </w:r>
      <w:r>
        <w:t xml:space="preserve">syntax in</w:t>
      </w:r>
      <w:r>
        <w:t xml:space="preserve"> </w:t>
      </w:r>
      <w:r>
        <w:rPr>
          <w:rStyle w:val="VerbatimChar"/>
        </w:rPr>
        <w:t xml:space="preserve">caip2.md</w:t>
      </w:r>
      <w:r>
        <w:t xml:space="preserve"> </w:t>
      </w:r>
      <w:r>
        <w:t xml:space="preserve">is valid, and a new public network becomes</w:t>
      </w:r>
      <w:r>
        <w:t xml:space="preserve"> </w:t>
      </w:r>
      <w:r>
        <w:rPr>
          <w:i/>
          <w:iCs/>
        </w:rPr>
        <w:t xml:space="preserve">well-known</w:t>
      </w:r>
      <w:r>
        <w:t xml:space="preserve"> </w:t>
      </w:r>
      <w:r>
        <w:t xml:space="preserve">by being added to</w:t>
      </w:r>
      <w:r>
        <w:t xml:space="preserve"> </w:t>
      </w:r>
      <w:r>
        <w:t xml:space="preserve">the table there. References for retired networks remain syntactically valid so that historical</w:t>
      </w:r>
      <w:r>
        <w:t xml:space="preserve"> </w:t>
      </w:r>
      <w:r>
        <w:t xml:space="preserve">data can still name the network it settled on — the reference format deliberately keeps working</w:t>
      </w:r>
      <w:r>
        <w:t xml:space="preserve"> </w:t>
      </w:r>
      <w:r>
        <w:t xml:space="preserve">for a chain that no longer runs.</w:t>
      </w:r>
    </w:p>
    <w:p>
      <w:pPr>
        <w:pStyle w:val="Heading4"/>
      </w:pPr>
      <w:r>
        <w:t xml:space="preserve">References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Only public artefacts. A reviewer can open every link.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Hyperlink"/>
          </w:rPr>
          <w:t xml:space="preserve">MOI Protocol</w:t>
        </w:r>
      </w:hyperlink>
      <w:r>
        <w:t xml:space="preserve"> </w:t>
      </w:r>
      <w:r>
        <w:t xml:space="preserve">— protocol overview</w:t>
      </w:r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Hyperlink"/>
          </w:rPr>
          <w:t xml:space="preserve">MOI documentation</w:t>
        </w:r>
      </w:hyperlink>
      <w:r>
        <w:t xml:space="preserve"> </w:t>
      </w:r>
      <w:r>
        <w:t xml:space="preserve">— protocol fundamentals (assets, logics, interactions)</w:t>
      </w:r>
    </w:p>
    <w:p>
      <w:pPr>
        <w:pStyle w:val="Compact"/>
        <w:numPr>
          <w:ilvl w:val="0"/>
          <w:numId w:val="1007"/>
        </w:numPr>
      </w:pPr>
      <w:hyperlink r:id="rId18">
        <w:r>
          <w:rPr>
            <w:rStyle w:val="Hyperlink"/>
          </w:rPr>
          <w:t xml:space="preserve">Voyage Explorer</w:t>
        </w:r>
      </w:hyperlink>
      <w:r>
        <w:t xml:space="preserve"> </w:t>
      </w:r>
      <w:r>
        <w:t xml:space="preserve">— public network explorer</w:t>
      </w:r>
    </w:p>
    <w:p>
      <w:pPr>
        <w:pStyle w:val="Compact"/>
        <w:numPr>
          <w:ilvl w:val="0"/>
          <w:numId w:val="1007"/>
        </w:numPr>
      </w:pPr>
      <w:hyperlink r:id="rId16">
        <w:r>
          <w:rPr>
            <w:rStyle w:val="Hyperlink"/>
          </w:rPr>
          <w:t xml:space="preserve">Sarva Labs on GitHub</w:t>
        </w:r>
      </w:hyperlink>
      <w:r>
        <w:t xml:space="preserve"> </w:t>
      </w:r>
      <w:r>
        <w:t xml:space="preserve">— protocol and SDK repositories</w:t>
      </w:r>
    </w:p>
    <w:p>
      <w:pPr>
        <w:pStyle w:val="Compact"/>
        <w:numPr>
          <w:ilvl w:val="0"/>
          <w:numId w:val="1007"/>
        </w:numPr>
      </w:pPr>
      <w:hyperlink r:id="rId22">
        <w:r>
          <w:rPr>
            <w:rStyle w:val="Hyperlink"/>
          </w:rPr>
          <w:t xml:space="preserve">js-moi-sdk</w:t>
        </w:r>
      </w:hyperlink>
      <w:r>
        <w:t xml:space="preserve"> </w:t>
      </w:r>
      <w:r>
        <w:t xml:space="preserve">— reference client library</w:t>
      </w:r>
    </w:p>
    <w:p>
      <w:pPr>
        <w:pStyle w:val="Heading4"/>
      </w:pPr>
      <w:r>
        <w:t xml:space="preserve">Copyright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CC0 waiver is mandatory for every file in the namespaces repo.</w:t>
      </w:r>
    </w:p>
    <w:p>
      <w:pPr>
        <w:pStyle w:val="FirstParagraph"/>
      </w:pPr>
      <w:r>
        <w:t xml:space="preserve">Copyright and related rights waived via</w:t>
      </w:r>
      <w:r>
        <w:t xml:space="preserve"> </w:t>
      </w:r>
      <w:hyperlink r:id="rId24">
        <w:r>
          <w:rPr>
            <w:rStyle w:val="Hyperlink"/>
          </w:rPr>
          <w:t xml:space="preserve">CC0</w:t>
        </w:r>
      </w:hyperlink>
      <w:r>
        <w:t xml:space="preserve">.</w:t>
      </w:r>
    </w:p>
    <w:p>
      <w:r>
        <w:br w:type="page"/>
      </w:r>
    </w:p>
    <w:p>
      <w:pPr>
        <w:pStyle w:val="Heading2"/>
      </w:pPr>
      <w:r>
        <w:t xml:space="preserve">3. File:</w:t>
      </w:r>
      <w:r>
        <w:t xml:space="preserve"> </w:t>
      </w:r>
      <w:r>
        <w:rPr>
          <w:rStyle w:val="VerbatimChar"/>
        </w:rPr>
        <w:t xml:space="preserve">namespaces/moi/caip2.md</w:t>
      </w:r>
    </w:p>
    <w:p>
      <w:pPr>
        <w:pStyle w:val="FirstParagraph"/>
      </w:pPr>
      <w:r>
        <w:rPr>
          <w:b/>
          <w:bCs/>
        </w:rPr>
        <w:t xml:space="preserve">Frontmatter</w:t>
      </w:r>
      <w:r>
        <w:t xml:space="preserve"> </w:t>
      </w:r>
      <w:r>
        <w:t xml:space="preserve">(YAML header CASA parses):</w:t>
      </w:r>
    </w:p>
    <w:p>
      <w:pPr>
        <w:pStyle w:val="SourceCode"/>
      </w:pPr>
      <w:r>
        <w:rPr>
          <w:rStyle w:val="VerbatimChar"/>
        </w:rPr>
        <w:t xml:space="preserve">namespace-identifier: moi-caip2</w:t>
      </w:r>
      <w:r>
        <w:br/>
      </w:r>
      <w:r>
        <w:rPr>
          <w:rStyle w:val="VerbatimChar"/>
        </w:rPr>
        <w:t xml:space="preserve">title: MOI - Blockchain ID Specification</w:t>
      </w:r>
      <w:r>
        <w:br/>
      </w:r>
      <w:r>
        <w:rPr>
          <w:rStyle w:val="VerbatimChar"/>
        </w:rPr>
        <w:t xml:space="preserve">author: ["Adithya Ganesh (@sarvalabs-adithya)"]</w:t>
      </w:r>
      <w:r>
        <w:br/>
      </w:r>
      <w:r>
        <w:rPr>
          <w:rStyle w:val="VerbatimChar"/>
        </w:rPr>
        <w:t xml:space="preserve">discussions-to: https://github.com/ChainAgnostic/namespaces/pull/TODO</w:t>
      </w:r>
      <w:r>
        <w:br/>
      </w:r>
      <w:r>
        <w:rPr>
          <w:rStyle w:val="VerbatimChar"/>
        </w:rPr>
        <w:t xml:space="preserve">status: Draft</w:t>
      </w:r>
      <w:r>
        <w:br/>
      </w:r>
      <w:r>
        <w:rPr>
          <w:rStyle w:val="VerbatimChar"/>
        </w:rPr>
        <w:t xml:space="preserve">type: Informational</w:t>
      </w:r>
      <w:r>
        <w:br/>
      </w:r>
      <w:r>
        <w:rPr>
          <w:rStyle w:val="VerbatimChar"/>
        </w:rPr>
        <w:t xml:space="preserve">created: 2026-08-08</w:t>
      </w:r>
      <w:r>
        <w:br/>
      </w:r>
      <w:r>
        <w:rPr>
          <w:rStyle w:val="VerbatimChar"/>
        </w:rPr>
        <w:t xml:space="preserve">requires: ["CAIP-2"]</w:t>
      </w:r>
    </w:p>
    <w:p>
      <w:pPr>
        <w:pStyle w:val="Heading3"/>
      </w:pPr>
      <w:r>
        <w:t xml:space="preserve">CAIP-2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chains profile. It follows CASA’s</w:t>
      </w:r>
      <w:r>
        <w:t xml:space="preserve"> </w:t>
      </w:r>
      <w:r>
        <w:rPr>
          <w:rStyle w:val="VerbatimChar"/>
        </w:rPr>
        <w:t xml:space="preserve">_template/caip2.md</w:t>
      </w:r>
      <w:r>
        <w:t xml:space="preserve"> </w:t>
      </w:r>
      <w:r>
        <w:t xml:space="preserve">section for section.</w:t>
      </w:r>
      <w:r>
        <w:t xml:space="preserve"> </w:t>
      </w:r>
      <w:r>
        <w:rPr>
          <w:rStyle w:val="VerbatimChar"/>
        </w:rPr>
        <w:t xml:space="preserve">type: Informational</w:t>
      </w:r>
      <w:r>
        <w:t xml:space="preserve"> </w:t>
      </w:r>
      <w:r>
        <w:t xml:space="preserve">comes from the template; Neo and Stellar merged with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, which is a judgement call recorded in DECISIONS.</w:t>
      </w:r>
    </w:p>
    <w:p>
      <w:pPr>
        <w:pStyle w:val="FirstParagraph"/>
      </w:pPr>
      <w:r>
        <w:rPr>
          <w:i/>
          <w:iCs/>
        </w:rPr>
        <w:t xml:space="preserve">For context, see the</w:t>
      </w:r>
      <w:r>
        <w:rPr>
          <w:i/>
          <w:iCs/>
        </w:rPr>
        <w:t xml:space="preserve"> </w:t>
      </w:r>
      <w:hyperlink r:id="rId28">
        <w:r>
          <w:rPr>
            <w:rStyle w:val="Hyperlink"/>
            <w:i/>
            <w:iCs/>
          </w:rPr>
          <w:t xml:space="preserve">CAIP-2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specification.</w:t>
      </w:r>
    </w:p>
    <w:p>
      <w:pPr>
        <w:pStyle w:val="Heading4"/>
      </w:pPr>
      <w:r>
        <w:t xml:space="preserve">Introduction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One paragraph of context and the single sentence that matters to CASA: no chain-wide genesis, so the reference is a name, in the manner of</w:t>
      </w:r>
      <w:r>
        <w:t xml:space="preserve"> </w:t>
      </w:r>
      <w:r>
        <w:rPr>
          <w:rStyle w:val="VerbatimChar"/>
        </w:rPr>
        <w:t xml:space="preserve">stellar</w:t>
      </w:r>
      <w:r>
        <w:t xml:space="preserve">.</w:t>
      </w:r>
    </w:p>
    <w:p>
      <w:pPr>
        <w:pStyle w:val="FirstParagraph"/>
      </w:pPr>
      <w:r>
        <w:t xml:space="preserve">MOI is an account-centric protocol.</w:t>
      </w:r>
      <w:r>
        <w:t xml:space="preserve"> </w:t>
      </w:r>
      <w:r>
        <w:t xml:space="preserve">Unlike chains that append blocks to one global ledger, each participant account on MOI holds its</w:t>
      </w:r>
      <w:r>
        <w:t xml:space="preserve"> </w:t>
      </w:r>
      <w:r>
        <w:t xml:space="preserve">own sequence of</w:t>
      </w:r>
      <w:r>
        <w:t xml:space="preserve"> </w:t>
      </w:r>
      <w:r>
        <w:rPr>
          <w:i/>
          <w:iCs/>
        </w:rPr>
        <w:t xml:space="preserve">tesseracts</w:t>
      </w:r>
      <w:r>
        <w:t xml:space="preserve">, and state changes are carried by signed</w:t>
      </w:r>
      <w:r>
        <w:t xml:space="preserve"> </w:t>
      </w:r>
      <w:r>
        <w:rPr>
          <w:i/>
          <w:iCs/>
        </w:rPr>
        <w:t xml:space="preserve">interactions</w:t>
      </w:r>
      <w:r>
        <w:t xml:space="preserve">.</w:t>
      </w:r>
    </w:p>
    <w:p>
      <w:pPr>
        <w:pStyle w:val="BodyText"/>
      </w:pPr>
      <w:r>
        <w:t xml:space="preserve">A consequence of that design is that MOI has no chain-wide genesis block, and so no genesis hash</w:t>
      </w:r>
      <w:r>
        <w:t xml:space="preserve"> </w:t>
      </w:r>
      <w:r>
        <w:t xml:space="preserve">of the kind other namespaces use as a reference.</w:t>
      </w:r>
      <w:r>
        <w:t xml:space="preserve"> </w:t>
      </w:r>
      <w:r>
        <w:t xml:space="preserve">Networks are instead distinguished by name, in the manner of the</w:t>
      </w:r>
      <w:r>
        <w:t xml:space="preserve"> </w:t>
      </w:r>
      <w:hyperlink r:id="rId29">
        <w:r>
          <w:rPr>
            <w:rStyle w:val="VerbatimChar"/>
          </w:rPr>
          <w:t xml:space="preserve">stellar</w:t>
        </w:r>
      </w:hyperlink>
      <w:r>
        <w:t xml:space="preserve"> </w:t>
      </w:r>
      <w:r>
        <w:t xml:space="preserve">namespace.</w:t>
      </w:r>
    </w:p>
    <w:p>
      <w:pPr>
        <w:pStyle w:val="Heading4"/>
      </w:pPr>
      <w:r>
        <w:t xml:space="preserve">Specification</w:t>
      </w:r>
    </w:p>
    <w:p>
      <w:pPr>
        <w:pStyle w:val="Heading5"/>
      </w:pPr>
      <w:r>
        <w:t xml:space="preserve">Semantics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What the two halves of</w:t>
      </w:r>
      <w:r>
        <w:t xml:space="preserve"> </w:t>
      </w:r>
      <w:r>
        <w:rPr>
          <w:rStyle w:val="VerbatimChar"/>
        </w:rPr>
        <w:t xml:space="preserve">moi:&lt;reference&gt;</w:t>
      </w:r>
      <w:r>
        <w:t xml:space="preserve"> </w:t>
      </w:r>
      <w:r>
        <w:t xml:space="preserve">mean. This is the paragraph that changes if the protocol team decides on a numeric chain id (Option B in DECISIONS).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moi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 </w:t>
      </w:r>
      <w:r>
        <w:t xml:space="preserve">is the short, lowercase name of a MOI network.</w:t>
      </w:r>
    </w:p>
    <w:p>
      <w:pPr>
        <w:pStyle w:val="Heading5"/>
      </w:pPr>
      <w:r>
        <w:t xml:space="preserve">Syntax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regex is the normative rule; the prose restates it. It was fixed on 10 September: the previous version accepted a trailing hyphen that the prose and test cases forbade.</w:t>
      </w:r>
    </w:p>
    <w:p>
      <w:pPr>
        <w:pStyle w:val="FirstParagraph"/>
      </w:pPr>
      <w:r>
        <w:t xml:space="preserve">The reference is a lowercase alphanumeric string, optionally containing hyphens, between 1 and 32</w:t>
      </w:r>
      <w:r>
        <w:t xml:space="preserve"> </w:t>
      </w:r>
      <w:r>
        <w:t xml:space="preserve">characters:</w:t>
      </w:r>
    </w:p>
    <w:p>
      <w:pPr>
        <w:pStyle w:val="SourceCode"/>
      </w:pPr>
      <w:r>
        <w:rPr>
          <w:rStyle w:val="VerbatimChar"/>
        </w:rPr>
        <w:t xml:space="preserve">^[a-z0-9]([a-z0-9-]{0,30}[a-z0-9])?$</w:t>
      </w:r>
    </w:p>
    <w:p>
      <w:pPr>
        <w:pStyle w:val="FirstParagraph"/>
      </w:pPr>
      <w:r>
        <w:t xml:space="preserve">The reference MUST NOT begin or end with a hyphen and MUST NOT contain uppercase characters,</w:t>
      </w:r>
      <w:r>
        <w:t xml:space="preserve"> </w:t>
      </w:r>
      <w:r>
        <w:t xml:space="preserve">whitespace, or separators other than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</w:p>
    <w:p>
      <w:pPr>
        <w:pStyle w:val="Heading6"/>
      </w:pPr>
      <w:r>
        <w:t xml:space="preserve">Well-known networks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Only devnet is live.</w:t>
      </w:r>
      <w:r>
        <w:t xml:space="preserve"> </w:t>
      </w:r>
      <w:r>
        <w:rPr>
          <w:rStyle w:val="VerbatimChar"/>
        </w:rPr>
        <w:t xml:space="preserve">mainnet</w:t>
      </w:r>
      <w:r>
        <w:t xml:space="preserve"> </w:t>
      </w:r>
      <w:r>
        <w:t xml:space="preserve">is reserved so tooling can prepare and MUST NOT be treated as resolvable. Listing it before launch is the second judgement call; dropping the row is the alternative.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CAIP-2 identifier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Voyage devnet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moi:devnet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MOI mainnet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moi:mainnet</w:t>
            </w:r>
          </w:p>
        </w:tc>
        <w:tc>
          <w:tcPr/>
          <w:p>
            <w:pPr>
              <w:pStyle w:val="Compact"/>
            </w:pPr>
            <w:r>
              <w:t xml:space="preserve">reserved; not yet launched</w:t>
            </w:r>
          </w:p>
        </w:tc>
      </w:tr>
    </w:tbl>
    <w:p>
      <w:pPr>
        <w:pStyle w:val="BodyText"/>
      </w:pPr>
      <w:r>
        <w:t xml:space="preserve">At the time of writing, the Voyage devnet is the only live public MOI network. The</w:t>
      </w:r>
      <w:r>
        <w:t xml:space="preserve"> </w:t>
      </w:r>
      <w:r>
        <w:rPr>
          <w:rStyle w:val="VerbatimChar"/>
        </w:rPr>
        <w:t xml:space="preserve">mainnet</w:t>
      </w:r>
      <w:r>
        <w:t xml:space="preserve"> </w:t>
      </w:r>
      <w:r>
        <w:t xml:space="preserve">reference is reserved here so that tooling can prepare for it, and MUST NOT be treated as</w:t>
      </w:r>
      <w:r>
        <w:t xml:space="preserve"> </w:t>
      </w:r>
      <w:r>
        <w:t xml:space="preserve">resolvable until that network launches.</w:t>
      </w:r>
    </w:p>
    <w:p>
      <w:pPr>
        <w:pStyle w:val="BodyText"/>
      </w:pPr>
      <w:r>
        <w:t xml:space="preserve">Private deployments SHOULD choose a reference that is unlikely to collide with the names above.</w:t>
      </w:r>
    </w:p>
    <w:p>
      <w:pPr>
        <w:pStyle w:val="Heading5"/>
      </w:pPr>
      <w:r>
        <w:t xml:space="preserve">Resolution Mechanics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BLOCKING. CAIP-2 requires a real RPC call that tells a client which network a node is on, and every merged namespace has one. MOI has no such method today. The section states the requirement and will be written against the network-identity RPC the protocol team is adding (Rahul: chain-id PR in progress).</w:t>
      </w:r>
    </w:p>
    <w:p>
      <w:pPr>
        <w:pStyle w:val="FirstParagraph"/>
      </w:pPr>
      <w:r>
        <w:rPr>
          <w:i/>
          <w:iCs/>
        </w:rPr>
        <w:t xml:space="preserve">To be completed.</w:t>
      </w:r>
      <w:r>
        <w:t xml:space="preserve"> </w:t>
      </w:r>
      <w:r>
        <w:t xml:space="preserve">This section requires a JSON-RPC method that reports which network a node</w:t>
      </w:r>
      <w:r>
        <w:t xml:space="preserve"> </w:t>
      </w:r>
      <w:r>
        <w:t xml:space="preserve">belongs to, shown as a request and its response, and the rule for turning that value into the</w:t>
      </w:r>
      <w:r>
        <w:t xml:space="preserve"> </w:t>
      </w:r>
      <w:r>
        <w:t xml:space="preserve">reference.</w:t>
      </w:r>
    </w:p>
    <w:p>
      <w:pPr>
        <w:pStyle w:val="BodyText"/>
      </w:pPr>
      <w:r>
        <w:t xml:space="preserve">MOI exposes no such method today. Its RPC surface is 42 methods across</w:t>
      </w:r>
      <w:r>
        <w:t xml:space="preserve"> </w:t>
      </w:r>
      <w:r>
        <w:rPr>
          <w:rStyle w:val="VerbatimChar"/>
        </w:rPr>
        <w:t xml:space="preserve">moi.*</w:t>
      </w:r>
      <w:r>
        <w:t xml:space="preserve">,</w:t>
      </w:r>
      <w:r>
        <w:t xml:space="preserve"> </w:t>
      </w:r>
      <w:r>
        <w:rPr>
          <w:rStyle w:val="VerbatimChar"/>
        </w:rPr>
        <w:t xml:space="preserve">ixpool.*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net.*</w:t>
      </w:r>
      <w:r>
        <w:t xml:space="preserve">;</w:t>
      </w:r>
      <w:r>
        <w:t xml:space="preserve"> </w:t>
      </w:r>
      <w:r>
        <w:rPr>
          <w:rStyle w:val="VerbatimChar"/>
        </w:rPr>
        <w:t xml:space="preserve">net.Version</w:t>
      </w:r>
      <w:r>
        <w:t xml:space="preserve"> </w:t>
      </w:r>
      <w:r>
        <w:t xml:space="preserve">returns the node’s software version,</w:t>
      </w:r>
      <w:r>
        <w:t xml:space="preserve"> </w:t>
      </w:r>
      <w:r>
        <w:rPr>
          <w:rStyle w:val="VerbatimChar"/>
        </w:rPr>
        <w:t xml:space="preserve">net.Info</w:t>
      </w:r>
      <w:r>
        <w:t xml:space="preserve"> </w:t>
      </w:r>
      <w:r>
        <w:t xml:space="preserve">its own peer identifier,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moi.Tesseract</w:t>
      </w:r>
      <w:r>
        <w:t xml:space="preserve"> </w:t>
      </w:r>
      <w:r>
        <w:t xml:space="preserve">requires an account identifier. A network-identity method is planned, and</w:t>
      </w:r>
      <w:r>
        <w:t xml:space="preserve"> </w:t>
      </w:r>
      <w:r>
        <w:t xml:space="preserve">this section will be written against it.</w:t>
      </w:r>
    </w:p>
    <w:p>
      <w:pPr>
        <w:pStyle w:val="Heading4"/>
      </w:pPr>
      <w:r>
        <w:t xml:space="preserve">Rationale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Explains why a name was chosen over a chain id or a genesis hash, and commits to reconsidering if the planned RPC exposes a stable numeric id. Every knock-on change for a numeric reference is listed in DECISIONS.</w:t>
      </w:r>
    </w:p>
    <w:p>
      <w:pPr>
        <w:pStyle w:val="FirstParagraph"/>
      </w:pPr>
      <w:r>
        <w:t xml:space="preserve">MOI has no stable, RPC-readable network identifier today, so the reference is a short network</w:t>
      </w:r>
      <w:r>
        <w:t xml:space="preserve"> </w:t>
      </w:r>
      <w:r>
        <w:t xml:space="preserve">name pending one.</w:t>
      </w:r>
    </w:p>
    <w:p>
      <w:pPr>
        <w:pStyle w:val="BodyText"/>
      </w:pPr>
      <w:r>
        <w:t xml:space="preserve">A numeric chain id, as</w:t>
      </w:r>
      <w:r>
        <w:t xml:space="preserve"> </w:t>
      </w:r>
      <w:r>
        <w:rPr>
          <w:rStyle w:val="VerbatimChar"/>
        </w:rPr>
        <w:t xml:space="preserve">eip155</w:t>
      </w:r>
      <w:r>
        <w:t xml:space="preserve"> </w:t>
      </w:r>
      <w:r>
        <w:t xml:space="preserve">uses, is not available on the wire: the client SDK carries an</w:t>
      </w:r>
      <w:r>
        <w:t xml:space="preserve"> </w:t>
      </w:r>
      <w:r>
        <w:t xml:space="preserve">unused</w:t>
      </w:r>
      <w:r>
        <w:t xml:space="preserve"> </w:t>
      </w:r>
      <w:r>
        <w:rPr>
          <w:rStyle w:val="VerbatimChar"/>
        </w:rPr>
        <w:t xml:space="preserve">Chain</w:t>
      </w:r>
      <w:r>
        <w:t xml:space="preserve"> </w:t>
      </w:r>
      <w:r>
        <w:t xml:space="preserve">enum, but no RPC method or interaction field reads or emits it. A genesis hash, as</w:t>
      </w:r>
      <w:r>
        <w:t xml:space="preserve"> </w:t>
      </w:r>
      <w:r>
        <w:rPr>
          <w:rStyle w:val="VerbatimChar"/>
        </w:rPr>
        <w:t xml:space="preserve">solana</w:t>
      </w:r>
      <w:r>
        <w:t xml:space="preserve"> </w:t>
      </w:r>
      <w:r>
        <w:t xml:space="preserve">uses, has no clean equivalent: tesseracts are per-account, so the nearest artefact is the</w:t>
      </w:r>
      <w:r>
        <w:t xml:space="preserve"> </w:t>
      </w:r>
      <w:r>
        <w:t xml:space="preserve">first tesseract of a genesis-era account, which would tie the identifier to an implementation</w:t>
      </w:r>
      <w:r>
        <w:t xml:space="preserve"> </w:t>
      </w:r>
      <w:r>
        <w:t xml:space="preserve">detail.</w:t>
      </w:r>
    </w:p>
    <w:p>
      <w:pPr>
        <w:pStyle w:val="BodyText"/>
      </w:pPr>
      <w:r>
        <w:t xml:space="preserve">A name is human-legible, stable across protocol upgrades, and lets a client construct an</w:t>
      </w:r>
      <w:r>
        <w:t xml:space="preserve"> </w:t>
      </w:r>
      <w:r>
        <w:t xml:space="preserve">identifier without fetching anything — only verify one. If the planned network-identity method</w:t>
      </w:r>
      <w:r>
        <w:t xml:space="preserve"> </w:t>
      </w:r>
      <w:r>
        <w:t xml:space="preserve">exposes a stable numeric id, a numeric reference becomes available and this choice should be</w:t>
      </w:r>
      <w:r>
        <w:t xml:space="preserve"> </w:t>
      </w:r>
      <w:r>
        <w:t xml:space="preserve">reconsidered before the profile leaves Draft.</w:t>
      </w:r>
    </w:p>
    <w:p>
      <w:pPr>
        <w:pStyle w:val="Heading5"/>
      </w:pPr>
      <w:r>
        <w:t xml:space="preserve">Backwards Compatibility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Template requires the section even when not applicable.</w:t>
      </w:r>
    </w:p>
    <w:p>
      <w:pPr>
        <w:pStyle w:val="FirstParagraph"/>
      </w:pPr>
      <w:r>
        <w:t xml:space="preserve">Not applicable. No prior CAIP-2 profile exists for MOI.</w:t>
      </w:r>
    </w:p>
    <w:p>
      <w:pPr>
        <w:pStyle w:val="Heading4"/>
      </w:pPr>
      <w:r>
        <w:t xml:space="preserve">Test Cases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Four valid and eight invalid identifiers, each with a reason. Stronger than the Stellar profile this was modelled on. If Option B (numeric) is chosen, every example is rewritten.</w:t>
      </w:r>
    </w:p>
    <w:p>
      <w:pPr>
        <w:pStyle w:val="Heading5"/>
      </w:pPr>
      <w:r>
        <w:t xml:space="preserve">Valid</w:t>
      </w:r>
    </w:p>
    <w:p>
      <w:pPr>
        <w:pStyle w:val="SourceCode"/>
      </w:pPr>
      <w:r>
        <w:rPr>
          <w:rStyle w:val="VerbatimChar"/>
        </w:rPr>
        <w:t xml:space="preserve"># Voyage devnet</w:t>
      </w:r>
      <w:r>
        <w:br/>
      </w:r>
      <w:r>
        <w:rPr>
          <w:rStyle w:val="VerbatimChar"/>
        </w:rPr>
        <w:t xml:space="preserve">moi:devnet</w:t>
      </w:r>
      <w:r>
        <w:br/>
      </w:r>
      <w:r>
        <w:br/>
      </w:r>
      <w:r>
        <w:rPr>
          <w:rStyle w:val="VerbatimChar"/>
        </w:rPr>
        <w:t xml:space="preserve"># The reserved mainnet reference</w:t>
      </w:r>
      <w:r>
        <w:br/>
      </w:r>
      <w:r>
        <w:rPr>
          <w:rStyle w:val="VerbatimChar"/>
        </w:rPr>
        <w:t xml:space="preserve">moi:mainnet</w:t>
      </w:r>
      <w:r>
        <w:br/>
      </w:r>
      <w:r>
        <w:br/>
      </w:r>
      <w:r>
        <w:rPr>
          <w:rStyle w:val="VerbatimChar"/>
        </w:rPr>
        <w:t xml:space="preserve"># A private deployment</w:t>
      </w:r>
      <w:r>
        <w:br/>
      </w:r>
      <w:r>
        <w:rPr>
          <w:rStyle w:val="VerbatimChar"/>
        </w:rPr>
        <w:t xml:space="preserve">moi:acme-internal</w:t>
      </w:r>
      <w:r>
        <w:br/>
      </w:r>
      <w:r>
        <w:br/>
      </w:r>
      <w:r>
        <w:rPr>
          <w:rStyle w:val="VerbatimChar"/>
        </w:rPr>
        <w:t xml:space="preserve"># Minimum-length reference</w:t>
      </w:r>
      <w:r>
        <w:br/>
      </w:r>
      <w:r>
        <w:rPr>
          <w:rStyle w:val="VerbatimChar"/>
        </w:rPr>
        <w:t xml:space="preserve">moi:x</w:t>
      </w:r>
    </w:p>
    <w:p>
      <w:pPr>
        <w:pStyle w:val="Heading5"/>
      </w:pPr>
      <w:r>
        <w:t xml:space="preserve">Invalid</w:t>
      </w:r>
    </w:p>
    <w:p>
      <w:pPr>
        <w:pStyle w:val="SourceCode"/>
      </w:pPr>
      <w:r>
        <w:rPr>
          <w:rStyle w:val="VerbatimChar"/>
        </w:rPr>
        <w:t xml:space="preserve">moi:                 # empty reference</w:t>
      </w:r>
      <w:r>
        <w:br/>
      </w:r>
      <w:r>
        <w:rPr>
          <w:rStyle w:val="VerbatimChar"/>
        </w:rPr>
        <w:t xml:space="preserve">moi:DevNet           # uppercase characters</w:t>
      </w:r>
      <w:r>
        <w:br/>
      </w:r>
      <w:r>
        <w:rPr>
          <w:rStyle w:val="VerbatimChar"/>
        </w:rPr>
        <w:t xml:space="preserve">moi:dev net          # whitespace</w:t>
      </w:r>
      <w:r>
        <w:br/>
      </w:r>
      <w:r>
        <w:rPr>
          <w:rStyle w:val="VerbatimChar"/>
        </w:rPr>
        <w:t xml:space="preserve">moi:-devnet          # leading hyphen</w:t>
      </w:r>
      <w:r>
        <w:br/>
      </w:r>
      <w:r>
        <w:rPr>
          <w:rStyle w:val="VerbatimChar"/>
        </w:rPr>
        <w:t xml:space="preserve">moi:devnet-          # trailing hyphen</w:t>
      </w:r>
      <w:r>
        <w:br/>
      </w:r>
      <w:r>
        <w:rPr>
          <w:rStyle w:val="VerbatimChar"/>
        </w:rPr>
        <w:t xml:space="preserve">moi:dev_net          # underscore is not permitted</w:t>
      </w:r>
      <w:r>
        <w:br/>
      </w:r>
      <w:r>
        <w:rPr>
          <w:rStyle w:val="VerbatimChar"/>
        </w:rPr>
        <w:t xml:space="preserve">MOI:devnet           # uppercase namespace</w:t>
      </w:r>
      <w:r>
        <w:br/>
      </w:r>
      <w:r>
        <w:rPr>
          <w:rStyle w:val="VerbatimChar"/>
        </w:rPr>
        <w:t xml:space="preserve">moi:this-reference-is-far-too-long-to-be-valid   # exceeds 32 characters</w:t>
      </w:r>
    </w:p>
    <w:p>
      <w:pPr>
        <w:pStyle w:val="Heading4"/>
      </w:pPr>
      <w:r>
        <w:t xml:space="preserve">Security Considerations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point specific to MOI: participant identifiers derive from keys, not from a network, so the same identifier exists on every MOI network. This is why explicit network identification matters, and why PR 2 puts the network inside the signed claim.</w:t>
      </w:r>
    </w:p>
    <w:p>
      <w:pPr>
        <w:pStyle w:val="FirstParagraph"/>
      </w:pPr>
      <w:r>
        <w:t xml:space="preserve">A network reference is only as trustworthy as the endpoint reporting it.</w:t>
      </w:r>
      <w:r>
        <w:t xml:space="preserve"> </w:t>
      </w:r>
      <w:r>
        <w:t xml:space="preserve">Clients SHOULD authenticate their RPC endpoint and SHOULD NOT infer a network from an unverified</w:t>
      </w:r>
      <w:r>
        <w:t xml:space="preserve"> </w:t>
      </w:r>
      <w:r>
        <w:t xml:space="preserve">URL. Because MOI participant identifiers are derived from public keys rather than allocated per</w:t>
      </w:r>
      <w:r>
        <w:t xml:space="preserve"> </w:t>
      </w:r>
      <w:r>
        <w:t xml:space="preserve">network, the same identifier may exist on more than one MOI network — so a client that submits an</w:t>
      </w:r>
      <w:r>
        <w:t xml:space="preserve"> </w:t>
      </w:r>
      <w:r>
        <w:t xml:space="preserve">interaction to the wrong network may find it succeeds.</w:t>
      </w:r>
    </w:p>
    <w:p>
      <w:pPr>
        <w:pStyle w:val="Heading4"/>
      </w:pPr>
      <w:r>
        <w:t xml:space="preserve">References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CAIP-2, CAIP-104 and public MOI links only.</w:t>
      </w:r>
    </w:p>
    <w:p>
      <w:pPr>
        <w:pStyle w:val="Compact"/>
        <w:numPr>
          <w:ilvl w:val="0"/>
          <w:numId w:val="1008"/>
        </w:numPr>
      </w:pPr>
      <w:hyperlink r:id="rId28">
        <w:r>
          <w:rPr>
            <w:rStyle w:val="Hyperlink"/>
          </w:rPr>
          <w:t xml:space="preserve">CAIP-2</w:t>
        </w:r>
      </w:hyperlink>
      <w:r>
        <w:t xml:space="preserve"> </w:t>
      </w:r>
      <w:r>
        <w:t xml:space="preserve">— Blockchain ID Specification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CAIP-104</w:t>
        </w:r>
      </w:hyperlink>
      <w:r>
        <w:t xml:space="preserve"> </w:t>
      </w:r>
      <w:r>
        <w:t xml:space="preserve">— Chain Agnostic Namespaces</w:t>
      </w:r>
    </w:p>
    <w:p>
      <w:pPr>
        <w:pStyle w:val="Compact"/>
        <w:numPr>
          <w:ilvl w:val="0"/>
          <w:numId w:val="1008"/>
        </w:numPr>
      </w:pPr>
      <w:hyperlink r:id="rId20">
        <w:r>
          <w:rPr>
            <w:rStyle w:val="Hyperlink"/>
          </w:rPr>
          <w:t xml:space="preserve">MOI Protocol</w:t>
        </w:r>
      </w:hyperlink>
    </w:p>
    <w:p>
      <w:pPr>
        <w:pStyle w:val="Compact"/>
        <w:numPr>
          <w:ilvl w:val="0"/>
          <w:numId w:val="1008"/>
        </w:numPr>
      </w:pPr>
      <w:hyperlink r:id="rId18">
        <w:r>
          <w:rPr>
            <w:rStyle w:val="Hyperlink"/>
          </w:rPr>
          <w:t xml:space="preserve">Voyage Explorer</w:t>
        </w:r>
      </w:hyperlink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Hyperlink"/>
          </w:rPr>
          <w:t xml:space="preserve">js-moi-sdk</w:t>
        </w:r>
      </w:hyperlink>
    </w:p>
    <w:p>
      <w:pPr>
        <w:pStyle w:val="Heading4"/>
      </w:pPr>
      <w:r>
        <w:t xml:space="preserve">Copyright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CC0, as CASA requires.</w:t>
      </w:r>
    </w:p>
    <w:p>
      <w:pPr>
        <w:pStyle w:val="FirstParagraph"/>
      </w:pPr>
      <w:r>
        <w:t xml:space="preserve">Copyright and related rights waived via</w:t>
      </w:r>
      <w:r>
        <w:t xml:space="preserve"> </w:t>
      </w:r>
      <w:hyperlink r:id="rId24">
        <w:r>
          <w:rPr>
            <w:rStyle w:val="Hyperlink"/>
          </w:rPr>
          <w:t xml:space="preserve">CC0</w:t>
        </w:r>
      </w:hyperlink>
      <w:r>
        <w:t xml:space="preserve">.</w:t>
      </w:r>
    </w:p>
    <w:p>
      <w:r>
        <w:br w:type="page"/>
      </w:r>
    </w:p>
    <w:p>
      <w:pPr>
        <w:pStyle w:val="Heading2"/>
      </w:pPr>
      <w:r>
        <w:t xml:space="preserve">4. Open decisions</w:t>
      </w:r>
    </w:p>
    <w:p>
      <w:pPr>
        <w:pStyle w:val="Heading3"/>
      </w:pPr>
      <w:r>
        <w:t xml:space="preserve">Open decisions — PR 1</w:t>
      </w:r>
    </w:p>
    <w:p>
      <w:pPr>
        <w:pStyle w:val="FirstParagraph"/>
      </w:pPr>
      <w:r>
        <w:t xml:space="preserve">Four things are undecided. One blocks the PR, one can be closed today, two are judgement calls.</w:t>
      </w:r>
      <w:r>
        <w:t xml:space="preserve"> </w:t>
      </w:r>
      <w:r>
        <w:t xml:space="preserve">Each says who decides and exactly what changes.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r>
        <w:t xml:space="preserve">1. The reference format — BLOCKING</w:t>
      </w:r>
    </w:p>
    <w:p>
      <w:pPr>
        <w:pStyle w:val="FirstParagraph"/>
      </w:pPr>
      <w:r>
        <w:rPr>
          <w:b/>
          <w:bCs/>
        </w:rPr>
        <w:t xml:space="preserve">Decides:</w:t>
      </w:r>
      <w:r>
        <w:t xml:space="preserve"> </w:t>
      </w:r>
      <w:r>
        <w:t xml:space="preserve">protocol team / Rahul.</w:t>
      </w:r>
    </w:p>
    <w:p>
      <w:pPr>
        <w:pStyle w:val="BodyText"/>
      </w:pPr>
      <w:r>
        <w:t xml:space="preserve">The reference half of</w:t>
      </w:r>
      <w:r>
        <w:t xml:space="preserve"> </w:t>
      </w:r>
      <w:r>
        <w:rPr>
          <w:rStyle w:val="VerbatimChar"/>
        </w:rPr>
        <w:t xml:space="preserve">moi:&lt;reference&gt;</w:t>
      </w:r>
      <w:r>
        <w:t xml:space="preserve"> </w:t>
      </w:r>
      <w:r>
        <w:t xml:space="preserve">is currently a network name (</w:t>
      </w:r>
      <w:r>
        <w:rPr>
          <w:rStyle w:val="VerbatimChar"/>
        </w:rPr>
        <w:t xml:space="preserve">moi:devnet</w:t>
      </w:r>
      <w:r>
        <w:t xml:space="preserve">). The client SDK</w:t>
      </w:r>
      <w:r>
        <w:t xml:space="preserve"> </w:t>
      </w:r>
      <w:r>
        <w:t xml:space="preserve">also carries</w:t>
      </w:r>
      <w:r>
        <w:t xml:space="preserve"> </w:t>
      </w:r>
      <w:r>
        <w:rPr>
          <w:rStyle w:val="VerbatimChar"/>
        </w:rPr>
        <w:t xml:space="preserve">enum Chain { TEST_NET = 111, DEV_NET = 112, MAIN_NET = 113 }</w:t>
      </w:r>
      <w:r>
        <w:t xml:space="preserve">, unused today, and the</w:t>
      </w:r>
      <w:r>
        <w:t xml:space="preserve"> </w:t>
      </w:r>
      <w:r>
        <w:t xml:space="preserve">planned network-identity RPC may surface exactly those numbers. If it does, a numeric reference</w:t>
      </w:r>
      <w:r>
        <w:t xml:space="preserve"> </w:t>
      </w:r>
      <w:r>
        <w:t xml:space="preserve">becomes available and every other registered chain that has a chain id uses one.</w:t>
      </w:r>
    </w:p>
    <w:p>
      <w:pPr>
        <w:pStyle w:val="BodyText"/>
      </w:pPr>
      <w:r>
        <w:rPr>
          <w:b/>
          <w:bCs/>
        </w:rPr>
        <w:t xml:space="preserve">Option A — keep names.</w:t>
      </w:r>
      <w:r>
        <w:t xml:space="preserve"> </w:t>
      </w:r>
      <w:r>
        <w:rPr>
          <w:rStyle w:val="VerbatimChar"/>
        </w:rPr>
        <w:t xml:space="preserve">moi:devnet</w:t>
      </w:r>
      <w:r>
        <w:t xml:space="preserve">,</w:t>
      </w:r>
      <w:r>
        <w:t xml:space="preserve"> </w:t>
      </w:r>
      <w:r>
        <w:rPr>
          <w:rStyle w:val="VerbatimChar"/>
        </w:rPr>
        <w:t xml:space="preserve">moi:mainnet</w:t>
      </w:r>
      <w:r>
        <w:t xml:space="preserve">. Human-legible, matches</w:t>
      </w:r>
      <w:r>
        <w:t xml:space="preserve"> </w:t>
      </w:r>
      <w:r>
        <w:rPr>
          <w:rStyle w:val="VerbatimChar"/>
        </w:rPr>
        <w:t xml:space="preserve">stellar:pubnet</w:t>
      </w:r>
      <w:r>
        <w:t xml:space="preserve">.</w:t>
      </w:r>
      <w:r>
        <w:t xml:space="preserve"> </w:t>
      </w:r>
      <w:r>
        <w:t xml:space="preserve">Nothing in the document changes.</w:t>
      </w:r>
    </w:p>
    <w:p>
      <w:pPr>
        <w:pStyle w:val="BodyText"/>
      </w:pPr>
      <w:r>
        <w:rPr>
          <w:b/>
          <w:bCs/>
        </w:rPr>
        <w:t xml:space="preserve">Option B — use the chain id.</w:t>
      </w:r>
      <w:r>
        <w:t xml:space="preserve"> </w:t>
      </w:r>
      <w:r>
        <w:rPr>
          <w:rStyle w:val="VerbatimChar"/>
        </w:rPr>
        <w:t xml:space="preserve">moi:112</w:t>
      </w:r>
      <w:r>
        <w:t xml:space="preserve"> </w:t>
      </w:r>
      <w:r>
        <w:t xml:space="preserve">for devnet. Matches</w:t>
      </w:r>
      <w:r>
        <w:t xml:space="preserve"> </w:t>
      </w:r>
      <w:r>
        <w:rPr>
          <w:rStyle w:val="VerbatimChar"/>
        </w:rPr>
        <w:t xml:space="preserve">eip155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neo</w:t>
      </w:r>
      <w:r>
        <w:t xml:space="preserve">. Changes: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Semantics</w:t>
            </w:r>
          </w:p>
        </w:tc>
        <w:tc>
          <w:tcPr/>
          <w:p>
            <w:pPr>
              <w:pStyle w:val="Compact"/>
            </w:pPr>
            <w:r>
              <w:t xml:space="preserve">reference becomes the network’s chain id, not its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regex becomes</w:t>
            </w:r>
            <w:r>
              <w:t xml:space="preserve"> </w:t>
            </w:r>
            <w:r>
              <w:rPr>
                <w:rStyle w:val="VerbatimChar"/>
              </w:rPr>
              <w:t xml:space="preserve">^(0\|[1-9][0-9]{0,9})$</w:t>
            </w:r>
            <w:r>
              <w:t xml:space="preserve">, plus a range bound — copy Neo’s wording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Well-known networks</w:t>
            </w:r>
          </w:p>
        </w:tc>
        <w:tc>
          <w:tcPr/>
          <w:p>
            <w:pPr>
              <w:pStyle w:val="Compact"/>
            </w:pPr>
            <w:r>
              <w:t xml:space="preserve">table keys on ids: devnet</w:t>
            </w:r>
            <w:r>
              <w:t xml:space="preserve"> </w:t>
            </w:r>
            <w:r>
              <w:rPr>
                <w:rStyle w:val="VerbatimChar"/>
              </w:rPr>
              <w:t xml:space="preserve">112</w:t>
            </w:r>
            <w:r>
              <w:t xml:space="preserve">, mainnet</w:t>
            </w:r>
            <w:r>
              <w:t xml:space="preserve"> </w:t>
            </w:r>
            <w:r>
              <w:rPr>
                <w:rStyle w:val="VerbatimChar"/>
              </w:rPr>
              <w:t xml:space="preserve">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 Mechanics</w:t>
            </w:r>
          </w:p>
        </w:tc>
        <w:tc>
          <w:tcPr/>
          <w:p>
            <w:pPr>
              <w:pStyle w:val="Compact"/>
            </w:pPr>
            <w:r>
              <w:t xml:space="preserve">reads the id from the new 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“numeric chain id was rejected”</w:t>
            </w:r>
            <w:r>
              <w:t xml:space="preserve"> </w:t>
            </w:r>
            <w:r>
              <w:t xml:space="preserve">paragraph inverts; the</w:t>
            </w:r>
            <w:r>
              <w:t xml:space="preserve"> </w:t>
            </w:r>
            <w:r>
              <w:t xml:space="preserve">“short network name”</w:t>
            </w:r>
            <w:r>
              <w:t xml:space="preserve"> </w:t>
            </w:r>
            <w:r>
              <w:t xml:space="preserve">paragraph becomes the rejected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every example is rewritten; the hyphen and case cases stop being meaningful</w:t>
            </w:r>
          </w:p>
        </w:tc>
      </w:tr>
    </w:tbl>
    <w:p>
      <w:pPr>
        <w:pStyle w:val="BodyText"/>
      </w:pPr>
      <w:r>
        <w:t xml:space="preserve">Roughly an hour of editing, mechanical once the choice is made.</w:t>
      </w:r>
    </w:p>
    <w:p>
      <w:pPr>
        <w:pStyle w:val="BodyText"/>
      </w:pPr>
      <w:r>
        <w:rPr>
          <w:b/>
          <w:bCs/>
        </w:rPr>
        <w:t xml:space="preserve">Knock-on outside this PR:</w:t>
      </w:r>
      <w:r>
        <w:t xml:space="preserve"> </w:t>
      </w:r>
      <w:r>
        <w:rPr>
          <w:rStyle w:val="VerbatimChar"/>
        </w:rPr>
        <w:t xml:space="preserve">moi:*</w:t>
      </w:r>
      <w:r>
        <w:t xml:space="preserve"> </w:t>
      </w:r>
      <w:r>
        <w:t xml:space="preserve">appears in the scheme spec (PR 2) and in</w:t>
      </w:r>
      <w:r>
        <w:t xml:space="preserve"> </w:t>
      </w:r>
      <w:r>
        <w:rPr>
          <w:rStyle w:val="VerbatimChar"/>
        </w:rPr>
        <w:t xml:space="preserve">src/constants.ts</w:t>
      </w:r>
      <w:r>
        <w:t xml:space="preserve"> </w:t>
      </w:r>
      <w:r>
        <w:t xml:space="preserve">of the mechanism package (PR 3). Both follow whatever is decided here.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r>
        <w:t xml:space="preserve">2. Resolution Mechanics — BLOCKING, same dependency</w:t>
      </w:r>
    </w:p>
    <w:p>
      <w:pPr>
        <w:pStyle w:val="FirstParagraph"/>
      </w:pPr>
      <w:r>
        <w:rPr>
          <w:b/>
          <w:bCs/>
        </w:rPr>
        <w:t xml:space="preserve">Decides:</w:t>
      </w:r>
      <w:r>
        <w:t xml:space="preserve"> </w:t>
      </w:r>
      <w:r>
        <w:t xml:space="preserve">protocol team ships it; nobody can write around it.</w:t>
      </w:r>
    </w:p>
    <w:p>
      <w:pPr>
        <w:pStyle w:val="BodyText"/>
      </w:pPr>
      <w:r>
        <w:t xml:space="preserve">CAIP-2 requires a section showing how a client confirms which network a node is on. Every merged</w:t>
      </w:r>
      <w:r>
        <w:t xml:space="preserve"> </w:t>
      </w:r>
      <w:r>
        <w:t xml:space="preserve">namespace has one backed by a real call: Neo</w:t>
      </w:r>
      <w:r>
        <w:t xml:space="preserve"> </w:t>
      </w:r>
      <w:r>
        <w:rPr>
          <w:rStyle w:val="VerbatimChar"/>
        </w:rPr>
        <w:t xml:space="preserve">getversion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protocol.network</w:t>
      </w:r>
      <w:r>
        <w:t xml:space="preserve">, Stellar Horizon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network_passphrase</w:t>
      </w:r>
      <w:r>
        <w:t xml:space="preserve">, Klever</w:t>
      </w:r>
      <w:r>
        <w:t xml:space="preserve"> </w:t>
      </w:r>
      <w:r>
        <w:rPr>
          <w:rStyle w:val="VerbatimChar"/>
        </w:rPr>
        <w:t xml:space="preserve">/node/status</w:t>
      </w:r>
      <w:r>
        <w:t xml:space="preserve">, Tenzro</w:t>
      </w:r>
      <w:r>
        <w:t xml:space="preserve"> </w:t>
      </w:r>
      <w:r>
        <w:rPr>
          <w:rStyle w:val="VerbatimChar"/>
        </w:rPr>
        <w:t xml:space="preserve">tenzro_getBlock</w:t>
      </w:r>
      <w:r>
        <w:t xml:space="preserve"> </w:t>
      </w:r>
      <w:r>
        <w:t xml:space="preserve">at genesis. There is</w:t>
      </w:r>
      <w:r>
        <w:t xml:space="preserve"> </w:t>
      </w:r>
      <w:r>
        <w:t xml:space="preserve">no precedent for filing without one.</w:t>
      </w:r>
    </w:p>
    <w:p>
      <w:pPr>
        <w:pStyle w:val="BodyText"/>
      </w:pPr>
      <w:r>
        <w:t xml:space="preserve">MOI has nothing equivalent today. Re-probed 10 September:</w:t>
      </w:r>
      <w:r>
        <w:t xml:space="preserve"> </w:t>
      </w:r>
      <w:r>
        <w:rPr>
          <w:rStyle w:val="VerbatimChar"/>
        </w:rPr>
        <w:t xml:space="preserve">net.Network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net.ChainId</w:t>
      </w:r>
      <w:r>
        <w:t xml:space="preserve">,</w:t>
      </w:r>
      <w:r>
        <w:t xml:space="preserve"> </w:t>
      </w:r>
      <w:r>
        <w:rPr>
          <w:rStyle w:val="VerbatimChar"/>
        </w:rPr>
        <w:t xml:space="preserve">net.NetworkInfo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moi.Network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moi.ChainId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moi.NetworkInfo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net.Chain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moi.Chain</w:t>
      </w:r>
      <w:r>
        <w:t xml:space="preserve"> </w:t>
      </w:r>
      <w:r>
        <w:t xml:space="preserve">all return method-not-found. Nothing existing substitutes:</w:t>
      </w:r>
      <w:r>
        <w:t xml:space="preserve"> </w:t>
      </w:r>
      <w:r>
        <w:rPr>
          <w:rStyle w:val="VerbatimChar"/>
        </w:rPr>
        <w:t xml:space="preserve">net.Info</w:t>
      </w:r>
      <w:r>
        <w:t xml:space="preserve"> </w:t>
      </w:r>
      <w:r>
        <w:t xml:space="preserve">returns a per-node peer id,</w:t>
      </w:r>
      <w:r>
        <w:t xml:space="preserve"> </w:t>
      </w:r>
      <w:r>
        <w:rPr>
          <w:rStyle w:val="VerbatimChar"/>
        </w:rPr>
        <w:t xml:space="preserve">net.Version</w:t>
      </w:r>
      <w:r>
        <w:t xml:space="preserve"> </w:t>
      </w:r>
      <w:r>
        <w:t xml:space="preserve">the node’s software version, and</w:t>
      </w:r>
      <w:r>
        <w:t xml:space="preserve"> </w:t>
      </w:r>
      <w:r>
        <w:rPr>
          <w:rStyle w:val="VerbatimChar"/>
        </w:rPr>
        <w:t xml:space="preserve">KMOI_ASSET_ID</w:t>
      </w:r>
      <w:r>
        <w:t xml:space="preserve"> </w:t>
      </w:r>
      <w:r>
        <w:t xml:space="preserve">is a hardcoded SDK constant</w:t>
      </w:r>
      <w:r>
        <w:t xml:space="preserve"> </w:t>
      </w:r>
      <w:r>
        <w:t xml:space="preserve">identical on every network.</w:t>
      </w:r>
    </w:p>
    <w:p>
      <w:pPr>
        <w:pStyle w:val="BodyText"/>
      </w:pPr>
      <w:r>
        <w:t xml:space="preserve">The section states what it requires and nothing more: a method reporting which network a node is</w:t>
      </w:r>
      <w:r>
        <w:t xml:space="preserve"> </w:t>
      </w:r>
      <w:r>
        <w:t xml:space="preserve">on, its request and response, and the rule for deriving the reference. Nothing is invented. When</w:t>
      </w:r>
      <w:r>
        <w:t xml:space="preserve"> </w:t>
      </w:r>
      <w:r>
        <w:t xml:space="preserve">the method lands, write it in.</w:t>
      </w:r>
    </w:p>
    <w:p>
      <w:pPr>
        <w:pStyle w:val="BodyText"/>
      </w:pPr>
      <w:r>
        <w:t xml:space="preserve">One finding worth recording.</w:t>
      </w:r>
      <w:r>
        <w:t xml:space="preserve"> </w:t>
      </w:r>
      <w:r>
        <w:rPr>
          <w:rStyle w:val="VerbatimChar"/>
        </w:rPr>
        <w:t xml:space="preserve">commit_info.cluster_id</w:t>
      </w:r>
      <w:r>
        <w:t xml:space="preserve"> </w:t>
      </w:r>
      <w:r>
        <w:t xml:space="preserve">is network-wide at the latest tesseract —</w:t>
      </w:r>
      <w:r>
        <w:t xml:space="preserve"> </w:t>
      </w:r>
      <w:r>
        <w:t xml:space="preserve">two unrelated accounts return the same value — but it differs at tesseract 0, so it tracks the</w:t>
      </w:r>
      <w:r>
        <w:t xml:space="preserve"> </w:t>
      </w:r>
      <w:r>
        <w:t xml:space="preserve">current validator cluster and rotates. A CAIP-2 reference has to be stable for the life of the</w:t>
      </w:r>
      <w:r>
        <w:t xml:space="preserve"> </w:t>
      </w:r>
      <w:r>
        <w:t xml:space="preserve">network, so it cannot be used.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discussions-to</w:t>
      </w:r>
      <w:r>
        <w:t xml:space="preserve"> </w:t>
      </w:r>
      <w:r>
        <w:t xml:space="preserve">— can be closed today</w:t>
      </w:r>
    </w:p>
    <w:p>
      <w:pPr>
        <w:pStyle w:val="FirstParagraph"/>
      </w:pPr>
      <w:r>
        <w:rPr>
          <w:b/>
          <w:bCs/>
        </w:rPr>
        <w:t xml:space="preserve">Decides:</w:t>
      </w:r>
      <w:r>
        <w:t xml:space="preserve"> </w:t>
      </w:r>
      <w:r>
        <w:t xml:space="preserve">Adithya.</w:t>
      </w:r>
    </w:p>
    <w:p>
      <w:pPr>
        <w:pStyle w:val="BodyText"/>
      </w:pPr>
      <w:r>
        <w:t xml:space="preserve">Currently</w:t>
      </w:r>
      <w:r>
        <w:t xml:space="preserve"> </w:t>
      </w:r>
      <w:r>
        <w:rPr>
          <w:rStyle w:val="VerbatimChar"/>
        </w:rPr>
        <w:t xml:space="preserve">https://github.com/ChainAgnostic/namespaces/pull/TODO</w:t>
      </w:r>
      <w:r>
        <w:t xml:space="preserve"> </w:t>
      </w:r>
      <w:r>
        <w:t xml:space="preserve">— the CASA PR’s own URL, with</w:t>
      </w:r>
      <w:r>
        <w:t xml:space="preserve"> </w:t>
      </w:r>
      <w:r>
        <w:t xml:space="preserve">the number filled in once the PR is opened. That is the simplest route and needs nothing set up</w:t>
      </w:r>
      <w:r>
        <w:t xml:space="preserve"> </w:t>
      </w:r>
      <w:r>
        <w:t xml:space="preserve">beforehand.</w:t>
      </w:r>
    </w:p>
    <w:p>
      <w:pPr>
        <w:pStyle w:val="BodyText"/>
      </w:pPr>
      <w:r>
        <w:t xml:space="preserve">It does not have to be the CASA PR, though. Neo points at</w:t>
      </w:r>
      <w:r>
        <w:t xml:space="preserve"> </w:t>
      </w:r>
      <w:r>
        <w:rPr>
          <w:rStyle w:val="VerbatimChar"/>
        </w:rPr>
        <w:t xml:space="preserve">neo-project/proposals/issues/238</w:t>
      </w:r>
      <w:r>
        <w:t xml:space="preserve"> </w:t>
      </w:r>
      <w:r>
        <w:t xml:space="preserve">and</w:t>
      </w:r>
      <w:r>
        <w:t xml:space="preserve"> </w:t>
      </w:r>
      <w:r>
        <w:t xml:space="preserve">Stellar at a CAIP pull request, so any monitored URL is acceptable. An issue on a public MOI repo</w:t>
      </w:r>
      <w:r>
        <w:t xml:space="preserve"> </w:t>
      </w:r>
      <w:r>
        <w:t xml:space="preserve">would give CASA somewhere to send questions that outlives the PR thread, if that is wanted later.</w:t>
      </w:r>
    </w:p>
    <w:p>
      <w:pPr>
        <w:pStyle w:val="BodyText"/>
      </w:pPr>
      <w:r>
        <w:t xml:space="preserve">Whoever owns that URL has to actually watch it. The only namespace PR that has ever failed on</w:t>
      </w:r>
      <w:r>
        <w:t xml:space="preserve"> </w:t>
      </w:r>
      <w:r>
        <w:t xml:space="preserve">merit failed because its author went quiet for 587 days.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r>
        <w:t xml:space="preserve">4. Two judgement calls</w:t>
      </w:r>
    </w:p>
    <w:p>
      <w:pPr>
        <w:pStyle w:val="FirstParagraph"/>
      </w:pPr>
      <w:r>
        <w:rPr>
          <w:rStyle w:val="VerbatimChar"/>
          <w:b/>
          <w:bCs/>
        </w:rPr>
        <w:t xml:space="preserve">type:</w:t>
      </w:r>
      <w:r>
        <w:rPr>
          <w:b/>
          <w:bCs/>
        </w:rPr>
        <w:t xml:space="preserve"> </w:t>
      </w:r>
      <w:r>
        <w:rPr>
          <w:b/>
          <w:bCs/>
        </w:rPr>
        <w:t xml:space="preserve">in the frontmatter.</w:t>
      </w:r>
      <w:r>
        <w:t xml:space="preserve"> </w:t>
      </w:r>
      <w:r>
        <w:t xml:space="preserve">Ours says</w:t>
      </w:r>
      <w:r>
        <w:t xml:space="preserve"> </w:t>
      </w:r>
      <w:r>
        <w:rPr>
          <w:rStyle w:val="VerbatimChar"/>
        </w:rPr>
        <w:t xml:space="preserve">Informational</w:t>
      </w:r>
      <w:r>
        <w:t xml:space="preserve">, following CASA’s own</w:t>
      </w:r>
      <w:r>
        <w:t xml:space="preserve"> </w:t>
      </w:r>
      <w:r>
        <w:rPr>
          <w:rStyle w:val="VerbatimChar"/>
        </w:rPr>
        <w:t xml:space="preserve">_template</w:t>
      </w:r>
      <w:r>
        <w:t xml:space="preserve">.</w:t>
      </w:r>
      <w:r>
        <w:t xml:space="preserve"> </w:t>
      </w:r>
      <w:r>
        <w:t xml:space="preserve">Neo and Stellar both say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and merged anyway. Leave as is unless a reviewer objects; the</w:t>
      </w:r>
      <w:r>
        <w:t xml:space="preserve"> </w:t>
      </w:r>
      <w:r>
        <w:t xml:space="preserve">template is the better authority.</w:t>
      </w:r>
    </w:p>
    <w:p>
      <w:pPr>
        <w:pStyle w:val="BodyText"/>
      </w:pPr>
      <w:r>
        <w:rPr>
          <w:b/>
          <w:bCs/>
        </w:rPr>
        <w:t xml:space="preserve">Listing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mainnet</w:t>
      </w:r>
      <w:r>
        <w:rPr>
          <w:b/>
          <w:bCs/>
        </w:rPr>
        <w:t xml:space="preserve"> </w:t>
      </w:r>
      <w:r>
        <w:rPr>
          <w:b/>
          <w:bCs/>
        </w:rPr>
        <w:t xml:space="preserve">before it exists.</w:t>
      </w:r>
      <w:r>
        <w:t xml:space="preserve"> </w:t>
      </w:r>
      <w:r>
        <w:t xml:space="preserve">The well-known-networks table reserves</w:t>
      </w:r>
      <w:r>
        <w:t xml:space="preserve"> </w:t>
      </w:r>
      <w:r>
        <w:rPr>
          <w:rStyle w:val="VerbatimChar"/>
        </w:rPr>
        <w:t xml:space="preserve">moi:mainnet</w:t>
      </w:r>
      <w:r>
        <w:t xml:space="preserve"> </w:t>
      </w:r>
      <w:r>
        <w:t xml:space="preserve">and</w:t>
      </w:r>
      <w:r>
        <w:t xml:space="preserve"> </w:t>
      </w:r>
      <w:r>
        <w:t xml:space="preserve">says it MUST NOT be treated as resolvable. The alternative is to list only</w:t>
      </w:r>
      <w:r>
        <w:t xml:space="preserve"> </w:t>
      </w:r>
      <w:r>
        <w:rPr>
          <w:rStyle w:val="VerbatimChar"/>
        </w:rPr>
        <w:t xml:space="preserve">devnet</w:t>
      </w:r>
      <w:r>
        <w:t xml:space="preserve"> </w:t>
      </w:r>
      <w:r>
        <w:t xml:space="preserve">and add</w:t>
      </w:r>
      <w:r>
        <w:t xml:space="preserve"> </w:t>
      </w:r>
      <w:r>
        <w:t xml:space="preserve">mainnet when it launches. Reserving it is defensible and tells tooling authors what is coming;</w:t>
      </w:r>
      <w:r>
        <w:t xml:space="preserve"> </w:t>
      </w:r>
      <w:r>
        <w:t xml:space="preserve">dropping it removes a row a reviewer might question. Neo avoids the problem entirely by defining a</w:t>
      </w:r>
      <w:r>
        <w:t xml:space="preserve"> </w:t>
      </w:r>
      <w:r>
        <w:t xml:space="preserve">rule rather than a table — which is also what Option B in decision 1 would give us.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r>
        <w:t xml:space="preserve">Verified while checking these</w:t>
      </w:r>
    </w:p>
    <w:p>
      <w:pPr>
        <w:pStyle w:val="FirstParagraph"/>
      </w:pPr>
      <w:r>
        <w:rPr>
          <w:rStyle w:val="VerbatimChar"/>
        </w:rPr>
        <w:t xml:space="preserve">moi.Tesseract</w:t>
      </w:r>
      <w:r>
        <w:t xml:space="preserve"> </w:t>
      </w:r>
      <w:r>
        <w:t xml:space="preserve">refuses to answer without an account identifier, and</w:t>
      </w:r>
      <w:r>
        <w:t xml:space="preserve"> </w:t>
      </w:r>
      <w:r>
        <w:rPr>
          <w:rStyle w:val="VerbatimChar"/>
        </w:rPr>
        <w:t xml:space="preserve">tesseract_number: 0</w:t>
      </w:r>
      <w:r>
        <w:t xml:space="preserve"> </w:t>
      </w:r>
      <w:r>
        <w:t xml:space="preserve">returns a different tesseract per account. There is genuinely no global chain.</w:t>
      </w:r>
    </w:p>
    <w:p>
      <w:pPr>
        <w:pStyle w:val="BodyText"/>
      </w:pPr>
      <w:r>
        <w:t xml:space="preserve">The rationale previously claimed no genesis artefact exists at all. That was too strong: a</w:t>
      </w:r>
      <w:r>
        <w:t xml:space="preserve"> </w:t>
      </w:r>
      <w:r>
        <w:t xml:space="preserve">genesis-era account’s first tesseract carries</w:t>
      </w:r>
      <w:r>
        <w:t xml:space="preserve"> </w:t>
      </w:r>
      <w:r>
        <w:rPr>
          <w:rStyle w:val="VerbatimChar"/>
        </w:rPr>
        <w:t xml:space="preserve">timestamp: 0x0</w:t>
      </w:r>
      <w:r>
        <w:t xml:space="preserve"> </w:t>
      </w:r>
      <w:r>
        <w:t xml:space="preserve">and an empty</w:t>
      </w:r>
      <w:r>
        <w:t xml:space="preserve"> </w:t>
      </w:r>
      <w:r>
        <w:rPr>
          <w:rStyle w:val="VerbatimChar"/>
        </w:rPr>
        <w:t xml:space="preserve">cluster_id</w:t>
      </w:r>
      <w:r>
        <w:t xml:space="preserve">, and its</w:t>
      </w:r>
      <w:r>
        <w:t xml:space="preserve"> </w:t>
      </w:r>
      <w:r>
        <w:t xml:space="preserve">hash is plausibly stable and network-unique. Using it would tie the identifier to an</w:t>
      </w:r>
      <w:r>
        <w:t xml:space="preserve"> </w:t>
      </w:r>
      <w:r>
        <w:t xml:space="preserve">implementation detail, which is a reason to prefer a name — but not the reason the document gave.</w:t>
      </w:r>
      <w:r>
        <w:t xml:space="preserve"> </w:t>
      </w:r>
      <w:r>
        <w:t xml:space="preserve">Corrected.</w:t>
      </w:r>
    </w:p>
    <w:p>
      <w:pPr>
        <w:pStyle w:val="Heading4"/>
      </w:pPr>
      <w:r>
        <w:t xml:space="preserve">What is not undecided</w:t>
      </w:r>
    </w:p>
    <w:p>
      <w:pPr>
        <w:pStyle w:val="FirstParagraph"/>
      </w:pPr>
      <w:r>
        <w:t xml:space="preserve">The author is set: Adithya Ganesh (</w:t>
      </w:r>
      <w:r>
        <w:t xml:space="preserve">@sarvalabs-adithya</w:t>
      </w:r>
      <w:r>
        <w:t xml:space="preserve">). The syntax regex is fixed (it previously</w:t>
      </w:r>
      <w:r>
        <w:t xml:space="preserve"> </w:t>
      </w:r>
      <w:r>
        <w:t xml:space="preserve">accepted a trailing hyphen that the prose and test cases forbade). The frontmatter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follows</w:t>
      </w:r>
      <w:r>
        <w:t xml:space="preserve"> </w:t>
      </w:r>
      <w:r>
        <w:t xml:space="preserve">the template’s</w:t>
      </w:r>
      <w:r>
        <w:t xml:space="preserve"> </w:t>
      </w:r>
      <w:r>
        <w:rPr>
          <w:rStyle w:val="VerbatimChar"/>
        </w:rPr>
        <w:t xml:space="preserve">&lt;name&gt; - Blockchain ID Specification</w:t>
      </w:r>
      <w:r>
        <w:t xml:space="preserve"> </w:t>
      </w:r>
      <w:r>
        <w:t xml:space="preserve">form. Test cases cover four valid and eight</w:t>
      </w:r>
      <w:r>
        <w:t xml:space="preserve"> </w:t>
      </w:r>
      <w:r>
        <w:t xml:space="preserve">invalid identifiers, each with a reason — stronger than the profile this was modelled 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Calibri" w:eastAsia="Calibri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eastAsia="Calibri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="Calibri" w:eastAsia="Calibri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Calibri" w:eastAsia="Calibri" w:hAnsi="Calibri"/>
      <w:color w:val="000000"/>
      <w:sz w:val="40"/>
      <w:szCs w:val="40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color w:val="000000"/>
      <w:sz w:val="32"/>
      <w:szCs w:val="32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color w:val="000000"/>
      <w:sz w:val="28"/>
      <w:szCs w:val="28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Calibri" w:eastAsia="Calibri" w:hAnsi="Calibri"/>
      <w:i/>
      <w:iCs/>
      <w:color w:val="000000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="Calibri" w:eastAsia="Calibri" w:hAnsi="Calibri"/>
      <w:color w:val="000000"/>
      <w:b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="Calibri" w:eastAsia="Calibri" w:hAnsi="Calibri"/>
      <w:i/>
      <w:iCs/>
      <w:color w:val="000000"/>
      <w:b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="Calibri" w:eastAsia="Calibri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="Calibri" w:eastAsia="Calibri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="Calibri" w:eastAsia="Calibri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eastAsia="Calibri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eastAsia="Calibri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="Calibri" w:eastAsia="Calibri" w:hAnsi="Calibr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="Calibri" w:eastAsia="Calibri" w:hAnsi="Calibr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="Calibri" w:eastAsia="Calibri" w:hAnsi="Calibr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="Calibri" w:eastAsia="Calibri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="Calibri" w:eastAsia="Calibri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="Calibri" w:eastAsia="Calibri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="Calibri" w:eastAsia="Calibri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https://chainagnostic.org/CAIPs/caip-104" TargetMode="External" /><Relationship Type="http://schemas.openxmlformats.org/officeDocument/2006/relationships/hyperlink" Id="rId28" Target="https://chainagnostic.org/CAIPs/caip-2" TargetMode="External" /><Relationship Type="http://schemas.openxmlformats.org/officeDocument/2006/relationships/hyperlink" Id="rId24" Target="https://creativecommons.org/publicdomain/zero/1.0/" TargetMode="External" /><Relationship Type="http://schemas.openxmlformats.org/officeDocument/2006/relationships/hyperlink" Id="rId21" Target="https://docs.moi.technology" TargetMode="External" /><Relationship Type="http://schemas.openxmlformats.org/officeDocument/2006/relationships/hyperlink" Id="rId16" Target="https://github.com/sarvalabs" TargetMode="External" /><Relationship Type="http://schemas.openxmlformats.org/officeDocument/2006/relationships/hyperlink" Id="rId17" Target="https://github.com/sarvalabs/js-moi-sdk" TargetMode="External" /><Relationship Type="http://schemas.openxmlformats.org/officeDocument/2006/relationships/hyperlink" Id="rId20" Target="https://moi.technology" TargetMode="External" /><Relationship Type="http://schemas.openxmlformats.org/officeDocument/2006/relationships/hyperlink" Id="rId29" Target="https://namespaces.chainagnostic.org/stellar/caip2" TargetMode="External" /><Relationship Type="http://schemas.openxmlformats.org/officeDocument/2006/relationships/hyperlink" Id="rId18" Target="https://voyage.moi.technology" TargetMode="External" /><Relationship Type="http://schemas.openxmlformats.org/officeDocument/2006/relationships/hyperlink" Id="rId22" Target="https://www.npmjs.com/package/js-moi-sd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chainagnostic.org/CAIPs/caip-104" TargetMode="External" /><Relationship Type="http://schemas.openxmlformats.org/officeDocument/2006/relationships/hyperlink" Id="rId28" Target="https://chainagnostic.org/CAIPs/caip-2" TargetMode="External" /><Relationship Type="http://schemas.openxmlformats.org/officeDocument/2006/relationships/hyperlink" Id="rId24" Target="https://creativecommons.org/publicdomain/zero/1.0/" TargetMode="External" /><Relationship Type="http://schemas.openxmlformats.org/officeDocument/2006/relationships/hyperlink" Id="rId21" Target="https://docs.moi.technology" TargetMode="External" /><Relationship Type="http://schemas.openxmlformats.org/officeDocument/2006/relationships/hyperlink" Id="rId16" Target="https://github.com/sarvalabs" TargetMode="External" /><Relationship Type="http://schemas.openxmlformats.org/officeDocument/2006/relationships/hyperlink" Id="rId17" Target="https://github.com/sarvalabs/js-moi-sdk" TargetMode="External" /><Relationship Type="http://schemas.openxmlformats.org/officeDocument/2006/relationships/hyperlink" Id="rId20" Target="https://moi.technology" TargetMode="External" /><Relationship Type="http://schemas.openxmlformats.org/officeDocument/2006/relationships/hyperlink" Id="rId29" Target="https://namespaces.chainagnostic.org/stellar/caip2" TargetMode="External" /><Relationship Type="http://schemas.openxmlformats.org/officeDocument/2006/relationships/hyperlink" Id="rId18" Target="https://voyage.moi.technology" TargetMode="External" /><Relationship Type="http://schemas.openxmlformats.org/officeDocument/2006/relationships/hyperlink" Id="rId22" Target="https://www.npmjs.com/package/js-moi-sd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2026-09-10T16:11:21Z</dcterms:created>
  <dcterms:modified xsi:type="dcterms:W3CDTF">2026-09-10T16:11:21Z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