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PR 2:</w:t>
      </w:r>
      <w:r>
        <w:t xml:space="preserve"> </w:t>
      </w:r>
      <w:r>
        <w:rPr>
          <w:rStyle w:val="VerbatimChar"/>
        </w:rPr>
        <w:t xml:space="preserve">exact</w:t>
      </w:r>
      <w:r>
        <w:t xml:space="preserve"> </w:t>
      </w:r>
      <w:r>
        <w:t xml:space="preserve">scheme specification for MOI</w:t>
      </w:r>
    </w:p>
    <w:p>
      <w:pPr>
        <w:pStyle w:val="FirstParagraph"/>
      </w:pPr>
      <w:r>
        <w:rPr>
          <w:i/>
          <w:iCs/>
        </w:rPr>
        <w:t xml:space="preserve">Review document, 10 September 2026. Prepared for internal review before filing.</w:t>
      </w:r>
    </w:p>
    <w:p>
      <w:pPr>
        <w:pStyle w:val="Heading2"/>
      </w:pPr>
      <w:r>
        <w:t xml:space="preserve">Page 1: what this PR is</w:t>
      </w:r>
    </w:p>
    <w:p>
      <w:pPr>
        <w:pStyle w:val="FirstParagraph"/>
      </w:pPr>
      <w:r>
        <w:rPr>
          <w:b/>
          <w:bCs/>
        </w:rPr>
        <w:t xml:space="preserve">Target repository:</w:t>
      </w:r>
      <w:r>
        <w:t xml:space="preserve"> </w:t>
      </w:r>
      <w:r>
        <w:rPr>
          <w:rStyle w:val="VerbatimChar"/>
        </w:rPr>
        <w:t xml:space="preserve">x402-foundation/x402</w:t>
      </w:r>
      <w:r>
        <w:t xml:space="preserve"> </w:t>
      </w:r>
      <w:r>
        <w:t xml:space="preserve">(public). One new file,</w:t>
      </w:r>
      <w:r>
        <w:t xml:space="preserve"> </w:t>
      </w:r>
      <w:r>
        <w:rPr>
          <w:rStyle w:val="VerbatimChar"/>
        </w:rPr>
        <w:t xml:space="preserve">specs/schemes/exact/scheme_exact_moi.md</w:t>
      </w:r>
      <w:r>
        <w:t xml:space="preserve">. No code.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specs: add</w:t>
      </w:r>
      <w:r>
        <w:t xml:space="preserve"> </w:t>
      </w:r>
      <w:r>
        <w:rPr>
          <w:rStyle w:val="VerbatimChar"/>
        </w:rPr>
        <w:t xml:space="preserve">exact</w:t>
      </w:r>
      <w:r>
        <w:t xml:space="preserve"> </w:t>
      </w:r>
      <w:r>
        <w:t xml:space="preserve">scheme for MOI (</w:t>
      </w:r>
      <w:r>
        <w:rPr>
          <w:rStyle w:val="VerbatimChar"/>
        </w:rPr>
        <w:t xml:space="preserve">moi:*</w:t>
      </w:r>
      <w:r>
        <w:t xml:space="preserve">), upfront flow</w:t>
      </w:r>
    </w:p>
    <w:p>
      <w:pPr>
        <w:pStyle w:val="BodyText"/>
      </w:pPr>
      <w:r>
        <w:rPr>
          <w:b/>
          <w:bCs/>
        </w:rPr>
        <w:t xml:space="preserve">Why it exists:</w:t>
      </w:r>
      <w:r>
        <w:t xml:space="preserve"> </w:t>
      </w:r>
      <w:r>
        <w:t xml:space="preserve">the x402 repo lands a scheme specification before it reviews a mechanism package. This document is the contract PR 3 implements, and it is what a reviewer reads to decide whether MOI’s flow is sound.</w:t>
      </w:r>
    </w:p>
    <w:p>
      <w:pPr>
        <w:pStyle w:val="Heading3"/>
      </w:pPr>
      <w:r>
        <w:t xml:space="preserve">High-level requirements</w:t>
      </w:r>
    </w:p>
    <w:p>
      <w:pPr>
        <w:pStyle w:val="FirstParagraph"/>
      </w:pPr>
      <w:r>
        <w:t xml:space="preserve">The file follows the structure of the merged</w:t>
      </w:r>
      <w:r>
        <w:t xml:space="preserve"> </w:t>
      </w:r>
      <w:r>
        <w:rPr>
          <w:rStyle w:val="VerbatimChar"/>
        </w:rPr>
        <w:t xml:space="preserve">stellar</w:t>
      </w:r>
      <w:r>
        <w:t xml:space="preserve">,</w:t>
      </w:r>
      <w:r>
        <w:t xml:space="preserve"> </w:t>
      </w:r>
      <w:r>
        <w:rPr>
          <w:rStyle w:val="VerbatimChar"/>
        </w:rPr>
        <w:t xml:space="preserve">near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ton</w:t>
      </w:r>
      <w:r>
        <w:t xml:space="preserve"> </w:t>
      </w:r>
      <w:r>
        <w:t xml:space="preserve">specs. Each section below is required.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What it must contain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Versions supported</w:t>
            </w:r>
          </w:p>
        </w:tc>
        <w:tc>
          <w:tcPr/>
          <w:p>
            <w:pPr>
              <w:pStyle w:val="Compact"/>
            </w:pPr>
            <w:r>
              <w:t xml:space="preserve">Which x402 versions the scheme works with, and why not the others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Supported Networks</w:t>
            </w:r>
          </w:p>
        </w:tc>
        <w:tc>
          <w:tcPr/>
          <w:p>
            <w:pPr>
              <w:pStyle w:val="Compact"/>
            </w:pPr>
            <w:r>
              <w:t xml:space="preserve">CAIP-2 identifiers a facilitator can settle on, with a scope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The payment flow (</w:t>
            </w:r>
            <w:r>
              <w:rPr>
                <w:rStyle w:val="VerbatimChar"/>
              </w:rPr>
              <w:t xml:space="preserve">upfront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authorization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escrow</w:t>
            </w:r>
            <w:r>
              <w:t xml:space="preserve">), why, and its consequences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 Flow</w:t>
            </w:r>
          </w:p>
        </w:tc>
        <w:tc>
          <w:tcPr/>
          <w:p>
            <w:pPr>
              <w:pStyle w:val="Compact"/>
            </w:pPr>
            <w:r>
              <w:t xml:space="preserve">Numbered steps from first request to</w:t>
            </w:r>
            <w:r>
              <w:t xml:space="preserve"> </w:t>
            </w:r>
            <w:r>
              <w:rPr>
                <w:rStyle w:val="VerbatimChar"/>
              </w:rPr>
              <w:t xml:space="preserve">PAYMENT-RESPONSE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PaymentRequirements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exact</w:t>
            </w:r>
          </w:p>
        </w:tc>
        <w:tc>
          <w:tcPr/>
          <w:p>
            <w:pPr>
              <w:pStyle w:val="Compact"/>
            </w:pPr>
            <w:r>
              <w:t xml:space="preserve">The JSON the seller emits, with every field defined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PAYMENT-SIGNATURE</w:t>
            </w:r>
            <w:r>
              <w:t xml:space="preserve"> </w:t>
            </w:r>
            <w:r>
              <w:t xml:space="preserve">Header Payload</w:t>
            </w:r>
          </w:p>
        </w:tc>
        <w:tc>
          <w:tcPr/>
          <w:p>
            <w:pPr>
              <w:pStyle w:val="Compact"/>
            </w:pPr>
            <w:r>
              <w:t xml:space="preserve">The JSON the buyer sends, the canonical bytes it signs, and 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Facilitator Settlement Rules (MUST)</w:t>
            </w:r>
          </w:p>
        </w:tc>
        <w:tc>
          <w:tcPr/>
          <w:p>
            <w:pPr>
              <w:pStyle w:val="Compact"/>
            </w:pPr>
            <w:r>
              <w:t xml:space="preserve">Numbered rules a facilitator must enforce, each testable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PAYMENT-RESPONSE</w:t>
            </w:r>
            <w:r>
              <w:t xml:space="preserve"> </w:t>
            </w:r>
            <w:r>
              <w:t xml:space="preserve">Header Payload</w:t>
            </w:r>
          </w:p>
        </w:tc>
        <w:tc>
          <w:tcPr/>
          <w:p>
            <w:pPr>
              <w:pStyle w:val="Compact"/>
            </w:pPr>
            <w:r>
              <w:t xml:space="preserve">The JSON returned to the buyer on success and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Settlement Mitigation</w:t>
            </w:r>
          </w:p>
        </w:tc>
        <w:tc>
          <w:tcPr/>
          <w:p>
            <w:pPr>
              <w:pStyle w:val="Compact"/>
            </w:pPr>
            <w:r>
              <w:t xml:space="preserve">The known race and the recommended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Considerations</w:t>
            </w:r>
          </w:p>
        </w:tc>
        <w:tc>
          <w:tcPr/>
          <w:p>
            <w:pPr>
              <w:pStyle w:val="Compact"/>
            </w:pPr>
            <w:r>
              <w:t xml:space="preserve">What the scheme accepts, rejects and assumes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Appendix</w:t>
            </w:r>
          </w:p>
        </w:tc>
        <w:tc>
          <w:tcPr/>
          <w:p>
            <w:pPr>
              <w:pStyle w:val="Compact"/>
            </w:pPr>
            <w:r>
              <w:t xml:space="preserve">Chain facts a reviewer needs and cannot look up elsewhere</w:t>
            </w:r>
          </w:p>
        </w:tc>
      </w:tr>
    </w:tbl>
    <w:p>
      <w:pPr>
        <w:pStyle w:val="Heading3"/>
      </w:pPr>
      <w:r>
        <w:t xml:space="preserve">Status</w:t>
      </w:r>
    </w:p>
    <w:p>
      <w:pPr>
        <w:pStyle w:val="Compact"/>
        <w:numPr>
          <w:ilvl w:val="0"/>
          <w:numId w:val="1001"/>
        </w:numPr>
      </w:pPr>
      <w:r>
        <w:t xml:space="preserve">Complete. Every section walked and compared with the merged specs; identifier layout, RPC field names, escaping rule,</w:t>
      </w:r>
      <w:r>
        <w:t xml:space="preserve"> </w:t>
      </w:r>
      <w:r>
        <w:rPr>
          <w:rStyle w:val="VerbatimChar"/>
        </w:rPr>
        <w:t xml:space="preserve">network</w:t>
      </w:r>
      <w:r>
        <w:t xml:space="preserve"> </w:t>
      </w:r>
      <w:r>
        <w:t xml:space="preserve">in the claim,</w:t>
      </w:r>
      <w:r>
        <w:t xml:space="preserve"> </w:t>
      </w:r>
      <w:r>
        <w:rPr>
          <w:rStyle w:val="VerbatimChar"/>
        </w:rPr>
        <w:t xml:space="preserve">areFeesSponsored</w:t>
      </w:r>
      <w:r>
        <w:t xml:space="preserve"> </w:t>
      </w:r>
      <w:r>
        <w:t xml:space="preserve">and the fee-payer note were all corrected during review.</w:t>
      </w:r>
    </w:p>
    <w:p>
      <w:pPr>
        <w:pStyle w:val="Compact"/>
        <w:numPr>
          <w:ilvl w:val="0"/>
          <w:numId w:val="1001"/>
        </w:numPr>
      </w:pPr>
      <w:r>
        <w:t xml:space="preserve">Every protocol claim was verified against go-moi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(2026-09-07) and the live Voyage devnet; the package in PR 3 passes 36 unit tests against this spec.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Waits on PR 1.</w:t>
      </w:r>
      <w:r>
        <w:t xml:space="preserve"> </w:t>
      </w:r>
      <w:r>
        <w:t xml:space="preserve">The spec names</w:t>
      </w:r>
      <w:r>
        <w:t xml:space="preserve"> </w:t>
      </w:r>
      <w:r>
        <w:rPr>
          <w:rStyle w:val="VerbatimChar"/>
        </w:rPr>
        <w:t xml:space="preserve">moi:devnet</w:t>
      </w:r>
      <w:r>
        <w:t xml:space="preserve">; the PR must not merge before the CASA namespace does. If the reference format becomes numeric, Supported Networks and every example change with it.</w:t>
      </w:r>
    </w:p>
    <w:p>
      <w:pPr>
        <w:pStyle w:val="Compact"/>
        <w:numPr>
          <w:ilvl w:val="0"/>
          <w:numId w:val="1001"/>
        </w:numPr>
      </w:pPr>
      <w:r>
        <w:t xml:space="preserve">One line to re-check on the wire once moipod v0.13.0 is live: the appendix says the fee payer field is</w:t>
      </w:r>
      <w:r>
        <w:t xml:space="preserve"> </w:t>
      </w:r>
      <w:r>
        <w:rPr>
          <w:rStyle w:val="VerbatimChar"/>
        </w:rPr>
        <w:t xml:space="preserve">fee_payer</w:t>
      </w:r>
      <w:r>
        <w:t xml:space="preserve"> </w:t>
      </w:r>
      <w:r>
        <w:t xml:space="preserve">(it was</w:t>
      </w:r>
      <w:r>
        <w:t xml:space="preserve"> </w:t>
      </w:r>
      <w:r>
        <w:rPr>
          <w:rStyle w:val="VerbatimChar"/>
        </w:rPr>
        <w:t xml:space="preserve">payer</w:t>
      </w:r>
      <w:r>
        <w:t xml:space="preserve">).</w:t>
      </w:r>
    </w:p>
    <w:p>
      <w:pPr>
        <w:pStyle w:val="Heading3"/>
      </w:pPr>
      <w:r>
        <w:t xml:space="preserve">Index</w:t>
      </w:r>
    </w:p>
    <w:p>
      <w:pPr>
        <w:pStyle w:val="Compact"/>
        <w:numPr>
          <w:ilvl w:val="0"/>
          <w:numId w:val="1002"/>
        </w:numPr>
      </w:pPr>
      <w:r>
        <w:t xml:space="preserve">PR description (as it will be posted)</w:t>
      </w:r>
    </w:p>
    <w:p>
      <w:pPr>
        <w:pStyle w:val="Compact"/>
        <w:numPr>
          <w:ilvl w:val="0"/>
          <w:numId w:val="1002"/>
        </w:numPr>
      </w:pPr>
      <w:r>
        <w:t xml:space="preserve">File:</w:t>
      </w:r>
      <w:r>
        <w:t xml:space="preserve"> </w:t>
      </w:r>
      <w:r>
        <w:rPr>
          <w:rStyle w:val="VerbatimChar"/>
        </w:rPr>
        <w:t xml:space="preserve">specs/schemes/exact/scheme_exact_moi.md</w:t>
      </w:r>
      <w:r>
        <w:t xml:space="preserve">, with a context note under every section</w:t>
      </w:r>
    </w:p>
    <w:p>
      <w:pPr>
        <w:pStyle w:val="Compact"/>
        <w:numPr>
          <w:ilvl w:val="1"/>
          <w:numId w:val="1003"/>
        </w:numPr>
      </w:pPr>
      <w:r>
        <w:t xml:space="preserve">2.1 Versions supported</w:t>
      </w:r>
    </w:p>
    <w:p>
      <w:pPr>
        <w:pStyle w:val="Compact"/>
        <w:numPr>
          <w:ilvl w:val="1"/>
          <w:numId w:val="1003"/>
        </w:numPr>
      </w:pPr>
      <w:r>
        <w:t xml:space="preserve">2.2 Supported Networks</w:t>
      </w:r>
    </w:p>
    <w:p>
      <w:pPr>
        <w:pStyle w:val="Compact"/>
        <w:numPr>
          <w:ilvl w:val="1"/>
          <w:numId w:val="1003"/>
        </w:numPr>
      </w:pPr>
      <w:r>
        <w:t xml:space="preserve">2.3 Summary</w:t>
      </w:r>
    </w:p>
    <w:p>
      <w:pPr>
        <w:pStyle w:val="Compact"/>
        <w:numPr>
          <w:ilvl w:val="1"/>
          <w:numId w:val="1003"/>
        </w:numPr>
      </w:pPr>
      <w:r>
        <w:t xml:space="preserve">2.4 Protocol Flow</w:t>
      </w:r>
    </w:p>
    <w:p>
      <w:pPr>
        <w:pStyle w:val="Compact"/>
        <w:numPr>
          <w:ilvl w:val="1"/>
          <w:numId w:val="1003"/>
        </w:numPr>
      </w:pPr>
      <w:r>
        <w:t xml:space="preserve">2.5</w:t>
      </w:r>
      <w:r>
        <w:t xml:space="preserve"> </w:t>
      </w:r>
      <w:r>
        <w:rPr>
          <w:rStyle w:val="VerbatimChar"/>
        </w:rPr>
        <w:t xml:space="preserve">PaymentRequirements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exact</w:t>
      </w:r>
    </w:p>
    <w:p>
      <w:pPr>
        <w:pStyle w:val="Compact"/>
        <w:numPr>
          <w:ilvl w:val="1"/>
          <w:numId w:val="1003"/>
        </w:numPr>
      </w:pPr>
      <w:r>
        <w:t xml:space="preserve">2.6</w:t>
      </w:r>
      <w:r>
        <w:t xml:space="preserve"> </w:t>
      </w:r>
      <w:r>
        <w:rPr>
          <w:rStyle w:val="VerbatimChar"/>
        </w:rPr>
        <w:t xml:space="preserve">PAYMENT-SIGNATURE</w:t>
      </w:r>
      <w:r>
        <w:t xml:space="preserve"> </w:t>
      </w:r>
      <w:r>
        <w:t xml:space="preserve">Header Payload, canonical claim bytes, why a claim exists</w:t>
      </w:r>
    </w:p>
    <w:p>
      <w:pPr>
        <w:pStyle w:val="Compact"/>
        <w:numPr>
          <w:ilvl w:val="1"/>
          <w:numId w:val="1003"/>
        </w:numPr>
      </w:pPr>
      <w:r>
        <w:t xml:space="preserve">2.7 Facilitator Settlement Rules 1 to 8</w:t>
      </w:r>
    </w:p>
    <w:p>
      <w:pPr>
        <w:pStyle w:val="Compact"/>
        <w:numPr>
          <w:ilvl w:val="1"/>
          <w:numId w:val="1003"/>
        </w:numPr>
      </w:pPr>
      <w:r>
        <w:t xml:space="preserve">2.8</w:t>
      </w:r>
      <w:r>
        <w:t xml:space="preserve"> </w:t>
      </w:r>
      <w:r>
        <w:rPr>
          <w:rStyle w:val="VerbatimChar"/>
        </w:rPr>
        <w:t xml:space="preserve">PAYMENT-RESPONSE</w:t>
      </w:r>
      <w:r>
        <w:t xml:space="preserve"> </w:t>
      </w:r>
      <w:r>
        <w:t xml:space="preserve">Header Payload</w:t>
      </w:r>
    </w:p>
    <w:p>
      <w:pPr>
        <w:pStyle w:val="Compact"/>
        <w:numPr>
          <w:ilvl w:val="1"/>
          <w:numId w:val="1003"/>
        </w:numPr>
      </w:pPr>
      <w:r>
        <w:t xml:space="preserve">2.9 Duplicate Settlement Mitigation</w:t>
      </w:r>
    </w:p>
    <w:p>
      <w:pPr>
        <w:pStyle w:val="Compact"/>
        <w:numPr>
          <w:ilvl w:val="1"/>
          <w:numId w:val="1003"/>
        </w:numPr>
      </w:pPr>
      <w:r>
        <w:t xml:space="preserve">2.10 Security Considerations</w:t>
      </w:r>
    </w:p>
    <w:p>
      <w:pPr>
        <w:pStyle w:val="Compact"/>
        <w:numPr>
          <w:ilvl w:val="1"/>
          <w:numId w:val="1003"/>
        </w:numPr>
      </w:pPr>
      <w:r>
        <w:t xml:space="preserve">2.11 Appendix: MOI in brief, interaction and receipt anatomy, POLO, references</w:t>
      </w:r>
    </w:p>
    <w:p>
      <w:r>
        <w:br w:type="page"/>
      </w:r>
    </w:p>
    <w:p>
      <w:pPr>
        <w:pStyle w:val="Heading2"/>
      </w:pPr>
      <w:r>
        <w:t xml:space="preserve">1. PR description</w:t>
      </w:r>
    </w:p>
    <w:p>
      <w:pPr>
        <w:pStyle w:val="Heading3"/>
      </w:pPr>
      <w:r>
        <w:t xml:space="preserve">PR description — x402-foundation/x402 (spec only)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specs: add</w:t>
      </w:r>
      <w:r>
        <w:t xml:space="preserve"> </w:t>
      </w:r>
      <w:r>
        <w:rPr>
          <w:rStyle w:val="VerbatimChar"/>
        </w:rPr>
        <w:t xml:space="preserve">exact</w:t>
      </w:r>
      <w:r>
        <w:t xml:space="preserve"> </w:t>
      </w:r>
      <w:r>
        <w:t xml:space="preserve">scheme for MOI (</w:t>
      </w:r>
      <w:r>
        <w:rPr>
          <w:rStyle w:val="VerbatimChar"/>
        </w:rPr>
        <w:t xml:space="preserve">moi:*</w:t>
      </w:r>
      <w:r>
        <w:t xml:space="preserve">), upfront flow</w:t>
      </w:r>
    </w:p>
    <w:p>
      <w:pPr>
        <w:pStyle w:val="BodyText"/>
      </w:pPr>
      <w:r>
        <w:t xml:space="preserve">Adds</w:t>
      </w:r>
      <w:r>
        <w:t xml:space="preserve"> </w:t>
      </w:r>
      <w:r>
        <w:rPr>
          <w:rStyle w:val="VerbatimChar"/>
        </w:rPr>
        <w:t xml:space="preserve">specs/schemes/exact/scheme_exact_moi.md</w:t>
      </w:r>
      <w:r>
        <w:t xml:space="preserve">. Specification only, no code — per the repo’s</w:t>
      </w:r>
      <w:r>
        <w:t xml:space="preserve"> </w:t>
      </w:r>
      <w:r>
        <w:t xml:space="preserve">process, the spec lands before any mechanism package is reviewed.</w:t>
      </w:r>
    </w:p>
    <w:p>
      <w:pPr>
        <w:pStyle w:val="BodyText"/>
      </w:pPr>
      <w:r>
        <w:t xml:space="preserve">This scheme uses the</w:t>
      </w:r>
      <w:r>
        <w:t xml:space="preserve"> </w:t>
      </w:r>
      <w:r>
        <w:rPr>
          <w:rStyle w:val="VerbatimChar"/>
        </w:rPr>
        <w:t xml:space="preserve">upfront</w:t>
      </w:r>
      <w:r>
        <w:t xml:space="preserve"> </w:t>
      </w:r>
      <w:r>
        <w:t xml:space="preserve">payment flow (spec v2 section 6.1): the buyer settles a</w:t>
      </w:r>
      <w:r>
        <w:t xml:space="preserve"> </w:t>
      </w:r>
      <w:r>
        <w:t xml:space="preserve">protocol-native asset transfer first and proves it with a signed claim bound to one resource.</w:t>
      </w:r>
      <w:r>
        <w:t xml:space="preserve"> </w:t>
      </w:r>
      <w:r>
        <w:t xml:space="preserve">Per the upfront ordering,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 </w:t>
      </w:r>
      <w:r>
        <w:t xml:space="preserve">is omitted and all validation runs inside</w:t>
      </w:r>
      <w:r>
        <w:t xml:space="preserve"> </w:t>
      </w:r>
      <w:r>
        <w:rPr>
          <w:rStyle w:val="VerbatimChar"/>
        </w:rPr>
        <w:t xml:space="preserve">/settle</w:t>
      </w:r>
      <w:r>
        <w:t xml:space="preserve">, which</w:t>
      </w:r>
      <w:r>
        <w:t xml:space="preserve"> </w:t>
      </w:r>
      <w:r>
        <w:t xml:space="preserve">confirms the transfer by reading the interaction and its receipt back from the chain. The</w:t>
      </w:r>
      <w:r>
        <w:t xml:space="preserve"> </w:t>
      </w:r>
      <w:r>
        <w:t xml:space="preserve">facilitator holds no keys and sponsors no fuel, making self-facilitation the natural deployment.</w:t>
      </w:r>
    </w:p>
    <w:p>
      <w:pPr>
        <w:pStyle w:val="BodyText"/>
      </w:pPr>
      <w:r>
        <w:rPr>
          <w:rStyle w:val="VerbatimChar"/>
        </w:rPr>
        <w:t xml:space="preserve">upfront</w:t>
      </w:r>
      <w:r>
        <w:t xml:space="preserve"> </w:t>
      </w:r>
      <w:r>
        <w:t xml:space="preserve">is a choice, not a limit. MOI supports the other two flows natively —</w:t>
      </w:r>
      <w:r>
        <w:t xml:space="preserve"> </w:t>
      </w:r>
      <w:r>
        <w:rPr>
          <w:rStyle w:val="VerbatimChar"/>
        </w:rPr>
        <w:t xml:space="preserve">escrow</w:t>
      </w:r>
      <w:r>
        <w:t xml:space="preserve"> </w:t>
      </w:r>
      <w:r>
        <w:t xml:space="preserve">through</w:t>
      </w:r>
      <w:r>
        <w:t xml:space="preserve"> </w:t>
      </w:r>
      <w:r>
        <w:t xml:space="preserve">the asset standard’s</w:t>
      </w:r>
      <w:r>
        <w:t xml:space="preserve"> </w:t>
      </w:r>
      <w:r>
        <w:rPr>
          <w:rStyle w:val="VerbatimChar"/>
        </w:rPr>
        <w:t xml:space="preserve">Lockup</w:t>
      </w:r>
      <w:r>
        <w:t xml:space="preserve">/</w:t>
      </w:r>
      <w:r>
        <w:rPr>
          <w:rStyle w:val="VerbatimChar"/>
        </w:rPr>
        <w:t xml:space="preserve">Release</w:t>
      </w:r>
      <w:r>
        <w:t xml:space="preserve"> </w:t>
      </w:r>
      <w:r>
        <w:t xml:space="preserve">endpoints or a Coco escrow logic, and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through third-party relay</w:t>
      </w:r>
      <w:r>
        <w:t xml:space="preserve"> </w:t>
      </w:r>
      <w:r>
        <w:t xml:space="preserve">of a signed interaction with a co-signing fee payer (moipod v0.13.0) or the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/</w:t>
      </w:r>
      <w:r>
        <w:rPr>
          <w:rStyle w:val="VerbatimChar"/>
        </w:rPr>
        <w:t xml:space="preserve">TransferFrom</w:t>
      </w:r>
      <w:r>
        <w:t xml:space="preserve"> </w:t>
      </w:r>
      <w:r>
        <w:t xml:space="preserve">allowance. Those are intended as follow-up scheme specs once this one merges; this PR keeps to</w:t>
      </w:r>
      <w:r>
        <w:t xml:space="preserve"> </w:t>
      </w:r>
      <w:r>
        <w:t xml:space="preserve">one flow so the settlement rules stay small enough to verify against a live network.</w:t>
      </w:r>
    </w:p>
    <w:p>
      <w:pPr>
        <w:pStyle w:val="BodyText"/>
      </w:pPr>
      <w:r>
        <w:t xml:space="preserve">The spec follows the structure of the merged stellar/near/ton specs: versions, supported</w:t>
      </w:r>
      <w:r>
        <w:t xml:space="preserve"> </w:t>
      </w:r>
      <w:r>
        <w:t xml:space="preserve">networks, protocol flow, MUST-rule settlement checks, PAYMENT-RESPONSE, and duplicate-settlement</w:t>
      </w:r>
      <w:r>
        <w:t xml:space="preserve"> </w:t>
      </w:r>
      <w:r>
        <w:t xml:space="preserve">mitigation.</w:t>
      </w:r>
    </w:p>
    <w:p>
      <w:pPr>
        <w:pStyle w:val="BodyText"/>
      </w:pPr>
      <w:r>
        <w:rPr>
          <w:b/>
          <w:bCs/>
        </w:rPr>
        <w:t xml:space="preserve">Namespace status: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moi</w:t>
      </w:r>
      <w:r>
        <w:t xml:space="preserve"> </w:t>
      </w:r>
      <w:r>
        <w:t xml:space="preserve">CAIP-2 namespace is under review at</w:t>
      </w:r>
      <w:r>
        <w:t xml:space="preserve"> </w:t>
      </w:r>
      <w:r>
        <w:t xml:space="preserve">ChainAgnostic/namespaces#TODO. This PR should not merge before that one does.</w:t>
      </w:r>
    </w:p>
    <w:p>
      <w:pPr>
        <w:pStyle w:val="Compact"/>
        <w:numPr>
          <w:ilvl w:val="0"/>
          <w:numId w:val="1004"/>
        </w:numPr>
      </w:pPr>
      <w:r>
        <w:t xml:space="preserve">CAIP-2 namespace PR to CASA opened (spec names</w:t>
      </w:r>
      <w:r>
        <w:t xml:space="preserve"> </w:t>
      </w:r>
      <w:r>
        <w:rPr>
          <w:rStyle w:val="VerbatimChar"/>
        </w:rPr>
        <w:t xml:space="preserve">moi:*</w:t>
      </w:r>
      <w:r>
        <w:t xml:space="preserve"> </w:t>
      </w:r>
      <w:r>
        <w:t xml:space="preserve">networks)</w:t>
      </w:r>
    </w:p>
    <w:p>
      <w:pPr>
        <w:pStyle w:val="Compact"/>
        <w:numPr>
          <w:ilvl w:val="0"/>
          <w:numId w:val="1005"/>
        </w:numPr>
      </w:pPr>
      <w:r>
        <w:t xml:space="preserve">Commits GPG-signed, conventional prefixes</w:t>
      </w:r>
    </w:p>
    <w:p>
      <w:pPr>
        <w:pStyle w:val="Compact"/>
        <w:numPr>
          <w:ilvl w:val="0"/>
          <w:numId w:val="1006"/>
        </w:numPr>
      </w:pPr>
      <w:r>
        <w:t xml:space="preserve">AI assistance disclosed (this PR was drafted with AI assistance and human-reviewed)</w:t>
      </w:r>
    </w:p>
    <w:p>
      <w:pPr>
        <w:pStyle w:val="Compact"/>
        <w:numPr>
          <w:ilvl w:val="0"/>
          <w:numId w:val="1007"/>
        </w:numPr>
      </w:pPr>
      <w:r>
        <w:t xml:space="preserve">Internal review (Rahul) complete</w:t>
      </w:r>
    </w:p>
    <w:p>
      <w:r>
        <w:br w:type="page"/>
      </w:r>
    </w:p>
    <w:p>
      <w:pPr>
        <w:pStyle w:val="Heading2"/>
      </w:pPr>
      <w:r>
        <w:t xml:space="preserve">2. File:</w:t>
      </w:r>
      <w:r>
        <w:t xml:space="preserve"> </w:t>
      </w:r>
      <w:r>
        <w:rPr>
          <w:rStyle w:val="VerbatimChar"/>
        </w:rPr>
        <w:t xml:space="preserve">specs/schemes/exact/scheme_exact_moi.md</w:t>
      </w:r>
    </w:p>
    <w:p>
      <w:pPr>
        <w:pStyle w:val="Heading3"/>
      </w:pPr>
      <w:r>
        <w:t xml:space="preserve">Scheme:</w:t>
      </w:r>
      <w:r>
        <w:t xml:space="preserve"> </w:t>
      </w:r>
      <w:r>
        <w:rPr>
          <w:rStyle w:val="VerbatimChar"/>
        </w:rPr>
        <w:t xml:space="preserve">exact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MOI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One file,</w:t>
      </w:r>
      <w:r>
        <w:t xml:space="preserve"> </w:t>
      </w:r>
      <w:r>
        <w:rPr>
          <w:rStyle w:val="VerbatimChar"/>
        </w:rPr>
        <w:t xml:space="preserve">specs/schemes/exact/scheme_exact_moi.md</w:t>
      </w:r>
      <w:r>
        <w:t xml:space="preserve">. It sits beside the merged</w:t>
      </w:r>
      <w:r>
        <w:t xml:space="preserve"> </w:t>
      </w:r>
      <w:r>
        <w:rPr>
          <w:rStyle w:val="VerbatimChar"/>
        </w:rPr>
        <w:t xml:space="preserve">scheme_exact_stellar.md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scheme_exact_near.md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scheme_exact_ton.md</w:t>
      </w:r>
      <w:r>
        <w:t xml:space="preserve"> </w:t>
      </w:r>
      <w:r>
        <w:t xml:space="preserve">and follows their section order so a maintainer can diff it against a known shape.</w:t>
      </w:r>
    </w:p>
    <w:p>
      <w:pPr>
        <w:pStyle w:val="Heading4"/>
      </w:pPr>
      <w:r>
        <w:t xml:space="preserve">Versions supported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x402 v1 carried a closed enum of network names, so no MOI network can be expressed in it; every merged non-EVM spec marks v1 unsupported the same way. v2 names networks by CAIP-2 string, which is why PR 1 has to exist before this one.</w:t>
      </w:r>
    </w:p>
    <w:p>
      <w:pPr>
        <w:pStyle w:val="Compact"/>
        <w:numPr>
          <w:ilvl w:val="0"/>
          <w:numId w:val="1008"/>
        </w:numPr>
      </w:pPr>
      <w:r>
        <w:t xml:space="preserve">❌</w:t>
      </w:r>
      <w:r>
        <w:t xml:space="preserve"> </w:t>
      </w:r>
      <w:r>
        <w:rPr>
          <w:rStyle w:val="VerbatimChar"/>
        </w:rPr>
        <w:t xml:space="preserve">v1</w:t>
      </w:r>
      <w:r>
        <w:t xml:space="preserve"> </w:t>
      </w:r>
      <w:r>
        <w:t xml:space="preserve">— not supported; v1’s closed network enum cannot name a MOI network.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v2</w:t>
      </w:r>
    </w:p>
    <w:p>
      <w:pPr>
        <w:pStyle w:val="Heading4"/>
      </w:pPr>
      <w:r>
        <w:t xml:space="preserve">Supported Networks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Only the live public network.</w:t>
      </w:r>
      <w:r>
        <w:t xml:space="preserve"> </w:t>
      </w:r>
      <w:r>
        <w:rPr>
          <w:rStyle w:val="VerbatimChar"/>
        </w:rPr>
        <w:t xml:space="preserve">moi:mainnet</w:t>
      </w:r>
      <w:r>
        <w:t xml:space="preserve"> </w:t>
      </w:r>
      <w:r>
        <w:t xml:space="preserve">is reserved in the CASA doc but deliberately not listed here, because a scheme spec lists what a facilitator can settle on today. The scope note carries the two facts every later rule depends on: native fungible assets only, and no fuel sponsorship by the facilitator.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moi:devnet</w:t>
      </w:r>
      <w:r>
        <w:t xml:space="preserve"> </w:t>
      </w:r>
      <w:r>
        <w:t xml:space="preserve">— Voyage devnet (</w:t>
      </w:r>
      <w:hyperlink r:id="rId16">
        <w:r>
          <w:rPr>
            <w:rStyle w:val="Hyperlink"/>
          </w:rPr>
          <w:t xml:space="preserve">CASA namespace</w:t>
        </w:r>
      </w:hyperlink>
      <w:r>
        <w:t xml:space="preserve">)</w:t>
      </w:r>
    </w:p>
    <w:p>
      <w:pPr>
        <w:pStyle w:val="BlockText"/>
      </w:pPr>
      <w:r>
        <w:t xml:space="preserve">[!NOTE]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This spec covers transfers of protocol-native fungible assets only (MAS0, and MASN</w:t>
      </w:r>
      <w:r>
        <w:t xml:space="preserve"> </w:t>
      </w:r>
      <w:r>
        <w:t xml:space="preserve">for KMOI). The facilitator does not sponsor fuel.</w:t>
      </w:r>
    </w:p>
    <w:p>
      <w:pPr>
        <w:pStyle w:val="Heading4"/>
      </w:pPr>
      <w:r>
        <w:t xml:space="preserve">Summary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The most-read section. It names the flow (</w:t>
      </w:r>
      <w:r>
        <w:rPr>
          <w:rStyle w:val="VerbatimChar"/>
        </w:rPr>
        <w:t xml:space="preserve">upfront</w:t>
      </w:r>
      <w:r>
        <w:t xml:space="preserve">, x402 v2 section 6.1) and frames it as a choice, listing the two other flows so a reviewer does not read</w:t>
      </w:r>
      <w:r>
        <w:t xml:space="preserve"> </w:t>
      </w:r>
      <w:r>
        <w:rPr>
          <w:rStyle w:val="VerbatimChar"/>
        </w:rPr>
        <w:t xml:space="preserve">upfront</w:t>
      </w:r>
      <w:r>
        <w:t xml:space="preserve"> </w:t>
      </w:r>
      <w:r>
        <w:t xml:space="preserve">as a limitation. The escrow bullet was reworded on 10 September after the source check showed a Coco logic can hold and release funds by code. The two consequence bullets are exactly what PR 3 implements: no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, every rule in</w:t>
      </w:r>
      <w:r>
        <w:t xml:space="preserve"> </w:t>
      </w:r>
      <w:r>
        <w:rPr>
          <w:rStyle w:val="VerbatimChar"/>
        </w:rPr>
        <w:t xml:space="preserve">/settle</w:t>
      </w:r>
      <w:r>
        <w:t xml:space="preserve">, a keyless facilitator.</w:t>
      </w:r>
    </w:p>
    <w:p>
      <w:pPr>
        <w:pStyle w:val="FirstParagraph"/>
      </w:pPr>
      <w:r>
        <w:t xml:space="preserve">The buyer pays exactly the quoted amount in a protocol-native MOI asset (MAS0, or MASN for</w:t>
      </w:r>
      <w:r>
        <w:t xml:space="preserve"> </w:t>
      </w:r>
      <w:r>
        <w:t xml:space="preserve">KMOI).</w:t>
      </w:r>
    </w:p>
    <w:p>
      <w:pPr>
        <w:pStyle w:val="BodyText"/>
      </w:pPr>
      <w:r>
        <w:t xml:space="preserve">MOI uses the</w:t>
      </w:r>
      <w:r>
        <w:t xml:space="preserve"> </w:t>
      </w:r>
      <w:r>
        <w:rPr>
          <w:rStyle w:val="VerbatimChar"/>
        </w:rPr>
        <w:t xml:space="preserve">upfront</w:t>
      </w:r>
      <w:r>
        <w:t xml:space="preserve"> </w:t>
      </w:r>
      <w:r>
        <w:t xml:space="preserve">payment flow (x402 v2, section 6.1): the buyer settles the transfer on</w:t>
      </w:r>
      <w:r>
        <w:t xml:space="preserve"> </w:t>
      </w:r>
      <w:r>
        <w:t xml:space="preserve">chain first, then presents a signed claim naming that settled transfer as proof.</w:t>
      </w:r>
    </w:p>
    <w:p>
      <w:pPr>
        <w:pStyle w:val="BodyText"/>
      </w:pPr>
      <w:r>
        <w:rPr>
          <w:rStyle w:val="VerbatimChar"/>
        </w:rPr>
        <w:t xml:space="preserve">upfront</w:t>
      </w:r>
      <w:r>
        <w:t xml:space="preserve"> </w:t>
      </w:r>
      <w:r>
        <w:t xml:space="preserve">is a choice. MOI can express the other two flows; this scheme does not use them: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authorization</w:t>
      </w:r>
      <w:r>
        <w:t xml:space="preserve">. A signed MOI interaction can be relayed by a third party through</w:t>
      </w:r>
      <w:r>
        <w:t xml:space="preserve"> </w:t>
      </w:r>
      <w:r>
        <w:rPr>
          <w:rStyle w:val="VerbatimChar"/>
        </w:rPr>
        <w:t xml:space="preserve">moi.SendInteractions</w:t>
      </w:r>
      <w:r>
        <w:t xml:space="preserve">, and from moipod v0.13.0 a separate fee payer can co-sign and pay the</w:t>
      </w:r>
      <w:r>
        <w:t xml:space="preserve"> </w:t>
      </w:r>
      <w:r>
        <w:t xml:space="preserve">fuel. This scheme does not use that path because a per-request payment should not leave a</w:t>
      </w:r>
      <w:r>
        <w:t xml:space="preserve"> </w:t>
      </w:r>
      <w:r>
        <w:t xml:space="preserve">signed, submittable instruction in a third party’s hands between request and settlement. The</w:t>
      </w:r>
      <w:r>
        <w:t xml:space="preserve"> </w:t>
      </w:r>
      <w:r>
        <w:t xml:space="preserve">native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/</w:t>
      </w:r>
      <w:r>
        <w:rPr>
          <w:rStyle w:val="VerbatimChar"/>
        </w:rPr>
        <w:t xml:space="preserve">TransferFrom</w:t>
      </w:r>
      <w:r>
        <w:t xml:space="preserve"> </w:t>
      </w:r>
      <w:r>
        <w:t xml:space="preserve">allowance is the other route; it costs the buyer an extra</w:t>
      </w:r>
      <w:r>
        <w:t xml:space="preserve"> </w:t>
      </w:r>
      <w:r>
        <w:t xml:space="preserve">on-chain interaction per grant.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escrow</w:t>
      </w:r>
      <w:r>
        <w:t xml:space="preserve">. MOI can hold funds pending release, either natively (</w:t>
      </w:r>
      <w:r>
        <w:rPr>
          <w:rStyle w:val="VerbatimChar"/>
        </w:rPr>
        <w:t xml:space="preserve">Lockup</w:t>
      </w:r>
      <w:r>
        <w:t xml:space="preserve">/</w:t>
      </w:r>
      <w:r>
        <w:rPr>
          <w:rStyle w:val="VerbatimChar"/>
        </w:rPr>
        <w:t xml:space="preserve">Release</w:t>
      </w:r>
      <w:r>
        <w:t xml:space="preserve">, where a</w:t>
      </w:r>
      <w:r>
        <w:t xml:space="preserve"> </w:t>
      </w:r>
      <w:r>
        <w:t xml:space="preserve">named releaser account moves the funds) or in a Coco logic that holds the deposit in its own</w:t>
      </w:r>
      <w:r>
        <w:t xml:space="preserve"> </w:t>
      </w:r>
      <w:r>
        <w:t xml:space="preserve">account and releases it by code. Either way a second interaction sits between payment and</w:t>
      </w:r>
      <w:r>
        <w:t xml:space="preserve"> </w:t>
      </w:r>
      <w:r>
        <w:t xml:space="preserve">finality. A first scheme should settle in one.</w:t>
      </w:r>
    </w:p>
    <w:p>
      <w:pPr>
        <w:pStyle w:val="FirstParagraph"/>
      </w:pPr>
      <w:r>
        <w:rPr>
          <w:rStyle w:val="VerbatimChar"/>
        </w:rPr>
        <w:t xml:space="preserve">upfront</w:t>
      </w:r>
      <w:r>
        <w:t xml:space="preserve"> </w:t>
      </w:r>
      <w:r>
        <w:t xml:space="preserve">uses one interaction, is final on commit, and leaves nothing pending on either side.</w:t>
      </w:r>
    </w:p>
    <w:p>
      <w:pPr>
        <w:pStyle w:val="BodyText"/>
      </w:pPr>
      <w:r>
        <w:t xml:space="preserve">Consequences:</w:t>
      </w:r>
    </w:p>
    <w:p>
      <w:pPr>
        <w:pStyle w:val="Compact"/>
        <w:numPr>
          <w:ilvl w:val="0"/>
          <w:numId w:val="1011"/>
        </w:numPr>
      </w:pPr>
      <w:r>
        <w:t xml:space="preserve">Per the</w:t>
      </w:r>
      <w:r>
        <w:t xml:space="preserve"> </w:t>
      </w:r>
      <w:r>
        <w:rPr>
          <w:rStyle w:val="VerbatimChar"/>
        </w:rPr>
        <w:t xml:space="preserve">upfront</w:t>
      </w:r>
      <w:r>
        <w:t xml:space="preserve"> </w:t>
      </w:r>
      <w:r>
        <w:t xml:space="preserve">ordering (settle → resource → respond), the facilitator’s read-only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 </w:t>
      </w:r>
      <w:r>
        <w:t xml:space="preserve">endpoint is not part of the flow. All validation defined below MUST be enforced</w:t>
      </w:r>
      <w:r>
        <w:t xml:space="preserve"> </w:t>
      </w:r>
      <w:r>
        <w:t xml:space="preserve">within</w:t>
      </w:r>
      <w:r>
        <w:t xml:space="preserve"> </w:t>
      </w:r>
      <w:r>
        <w:rPr>
          <w:rStyle w:val="VerbatimChar"/>
        </w:rPr>
        <w:t xml:space="preserve">/settle</w:t>
      </w:r>
      <w:r>
        <w:t xml:space="preserve">, which confirms the already-submitted transfer rather than executing one.</w:t>
      </w:r>
    </w:p>
    <w:p>
      <w:pPr>
        <w:pStyle w:val="Compact"/>
        <w:numPr>
          <w:ilvl w:val="0"/>
          <w:numId w:val="1011"/>
        </w:numPr>
      </w:pPr>
      <w:r>
        <w:t xml:space="preserve">The facilitator holds no keys and signs nothing (</w:t>
      </w:r>
      <w:r>
        <w:rPr>
          <w:rStyle w:val="VerbatimChar"/>
        </w:rPr>
        <w:t xml:space="preserve">getSigners()</w:t>
      </w:r>
      <w:r>
        <w:t xml:space="preserve"> </w:t>
      </w:r>
      <w:r>
        <w:t xml:space="preserve">returns an empty list), which</w:t>
      </w:r>
      <w:r>
        <w:t xml:space="preserve"> </w:t>
      </w:r>
      <w:r>
        <w:t xml:space="preserve">makes in-process self-facilitation the natural deployment. Fuel is the buyer’s, or a fee</w:t>
      </w:r>
      <w:r>
        <w:t xml:space="preserve"> </w:t>
      </w:r>
      <w:r>
        <w:t xml:space="preserve">payer’s the buyer names; the scheme does not distinguish.</w:t>
      </w:r>
    </w:p>
    <w:p>
      <w:pPr>
        <w:pStyle w:val="Heading4"/>
      </w:pPr>
      <w:r>
        <w:t xml:space="preserve">Protocol Flow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Eight numbered steps, the shape the merged specs use. Steps 3 and 4 are the MOI-specific part: one</w:t>
      </w:r>
      <w:r>
        <w:t xml:space="preserve"> </w:t>
      </w:r>
      <w:r>
        <w:rPr>
          <w:rStyle w:val="VerbatimChar"/>
        </w:rPr>
        <w:t xml:space="preserve">ASSET_INVOKE</w:t>
      </w:r>
      <w:r>
        <w:t xml:space="preserve"> </w:t>
      </w:r>
      <w:r>
        <w:t xml:space="preserve">operation calling the asset’s</w:t>
      </w:r>
      <w:r>
        <w:t xml:space="preserve"> </w:t>
      </w:r>
      <w:r>
        <w:rPr>
          <w:rStyle w:val="VerbatimChar"/>
        </w:rPr>
        <w:t xml:space="preserve">Transfer</w:t>
      </w:r>
      <w:r>
        <w:t xml:space="preserve"> </w:t>
      </w:r>
      <w:r>
        <w:t xml:space="preserve">callsite, then a wait for the receipt. Step 6 states the omission of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, which follows from core’s upfront ordering (settle, resource, respond). The RPC names in step 7 are the exact methods the package’s chain reader calls.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Client</w:t>
      </w:r>
      <w:r>
        <w:t xml:space="preserve"> </w:t>
      </w:r>
      <w:r>
        <w:t xml:space="preserve">requests a protected resource.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Resource Server</w:t>
      </w:r>
      <w:r>
        <w:t xml:space="preserve"> </w:t>
      </w:r>
      <w:r>
        <w:t xml:space="preserve">responds with the payment required signal; the</w:t>
      </w:r>
      <w:r>
        <w:t xml:space="preserve"> </w:t>
      </w:r>
      <w:r>
        <w:rPr>
          <w:rStyle w:val="VerbatimChar"/>
        </w:rPr>
        <w:t xml:space="preserve">PaymentRequired</w:t>
      </w:r>
      <w:r>
        <w:t xml:space="preserve"> </w:t>
      </w:r>
      <w:r>
        <w:t xml:space="preserve">object</w:t>
      </w:r>
      <w:r>
        <w:t xml:space="preserve"> </w:t>
      </w:r>
      <w:r>
        <w:t xml:space="preserve">travels in the</w:t>
      </w:r>
      <w:r>
        <w:t xml:space="preserve"> </w:t>
      </w:r>
      <w:r>
        <w:rPr>
          <w:rStyle w:val="VerbatimChar"/>
        </w:rPr>
        <w:t xml:space="preserve">PAYMENT-REQUIRED</w:t>
      </w:r>
      <w:r>
        <w:t xml:space="preserve"> </w:t>
      </w:r>
      <w:r>
        <w:t xml:space="preserve">header.</w:t>
      </w:r>
      <w:r>
        <w:t xml:space="preserve"> </w:t>
      </w:r>
      <w:r>
        <w:rPr>
          <w:rStyle w:val="VerbatimChar"/>
        </w:rPr>
        <w:t xml:space="preserve">accepts[].extra</w:t>
      </w:r>
      <w:r>
        <w:t xml:space="preserve"> </w:t>
      </w:r>
      <w:r>
        <w:t xml:space="preserve">carries</w:t>
      </w:r>
      <w:r>
        <w:t xml:space="preserve"> </w:t>
      </w:r>
      <w:r>
        <w:rPr>
          <w:rStyle w:val="VerbatimChar"/>
        </w:rPr>
        <w:t xml:space="preserve">"paymentFlow": "upfront"</w:t>
      </w:r>
      <w:r>
        <w:t xml:space="preserve">, which core emits automatically because the resolved flow is not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"resource"</w:t>
      </w:r>
      <w:r>
        <w:t xml:space="preserve">, which the scheme’s server half copies from the request’s</w:t>
      </w:r>
      <w:r>
        <w:t xml:space="preserve"> </w:t>
      </w:r>
      <w:r>
        <w:rPr>
          <w:rStyle w:val="VerbatimChar"/>
        </w:rPr>
        <w:t xml:space="preserve">ResourceInfo</w:t>
      </w:r>
      <w:r>
        <w:t xml:space="preserve"> </w:t>
      </w:r>
      <w:r>
        <w:t xml:space="preserve">so the buyer can sign over it.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Client</w:t>
      </w:r>
      <w:r>
        <w:t xml:space="preserve"> </w:t>
      </w:r>
      <w:r>
        <w:t xml:space="preserve">submits an interaction on the named MOI network carrying one</w:t>
      </w:r>
      <w:r>
        <w:t xml:space="preserve"> </w:t>
      </w:r>
      <w:r>
        <w:rPr>
          <w:rStyle w:val="VerbatimChar"/>
        </w:rPr>
        <w:t xml:space="preserve">ASSET_INVOKE</w:t>
      </w:r>
      <w:r>
        <w:t xml:space="preserve"> </w:t>
      </w:r>
      <w:r>
        <w:t xml:space="preserve">operation that calls</w:t>
      </w:r>
      <w:r>
        <w:t xml:space="preserve"> </w:t>
      </w:r>
      <w:r>
        <w:rPr>
          <w:rStyle w:val="VerbatimChar"/>
        </w:rPr>
        <w:t xml:space="preserve">Transfer</w:t>
      </w:r>
      <w:r>
        <w:t xml:space="preserve"> </w:t>
      </w:r>
      <w:r>
        <w:t xml:space="preserve">on the quoted asset: the quoted amount to</w:t>
      </w:r>
      <w:r>
        <w:t xml:space="preserve"> </w:t>
      </w:r>
      <w:r>
        <w:rPr>
          <w:rStyle w:val="VerbatimChar"/>
        </w:rPr>
        <w:t xml:space="preserve">payTo</w:t>
      </w:r>
      <w:r>
        <w:t xml:space="preserve">, signed with</w:t>
      </w:r>
      <w:r>
        <w:t xml:space="preserve"> </w:t>
      </w:r>
      <w:r>
        <w:t xml:space="preserve">its own key. Fuel comes from the client or from a fee payer it names.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Client</w:t>
      </w:r>
      <w:r>
        <w:t xml:space="preserve"> </w:t>
      </w:r>
      <w:r>
        <w:t xml:space="preserve">waits until</w:t>
      </w:r>
      <w:r>
        <w:t xml:space="preserve"> </w:t>
      </w:r>
      <w:r>
        <w:rPr>
          <w:rStyle w:val="VerbatimChar"/>
        </w:rPr>
        <w:t xml:space="preserve">moi.InteractionReceipt</w:t>
      </w:r>
      <w:r>
        <w:t xml:space="preserve"> </w:t>
      </w:r>
      <w:r>
        <w:t xml:space="preserve">returns a successful receipt for the</w:t>
      </w:r>
      <w:r>
        <w:t xml:space="preserve"> </w:t>
      </w:r>
      <w:r>
        <w:t xml:space="preserve">interaction, then constructs and signs a payment claim (below) binding that settled transfer</w:t>
      </w:r>
      <w:r>
        <w:t xml:space="preserve"> </w:t>
      </w:r>
      <w:r>
        <w:t xml:space="preserve">to this request.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Client</w:t>
      </w:r>
      <w:r>
        <w:t xml:space="preserve"> </w:t>
      </w:r>
      <w:r>
        <w:t xml:space="preserve">repeats the request with the claim in the</w:t>
      </w:r>
      <w:r>
        <w:t xml:space="preserve"> </w:t>
      </w:r>
      <w:r>
        <w:rPr>
          <w:rStyle w:val="VerbatimChar"/>
        </w:rPr>
        <w:t xml:space="preserve">PAYMENT-SIGNATURE</w:t>
      </w:r>
      <w:r>
        <w:t xml:space="preserve"> </w:t>
      </w:r>
      <w:r>
        <w:t xml:space="preserve">header.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Resource Server</w:t>
      </w:r>
      <w:r>
        <w:t xml:space="preserve"> </w:t>
      </w:r>
      <w:r>
        <w:t xml:space="preserve">passes the payload and requirements to the facilitator’s</w:t>
      </w:r>
      <w:r>
        <w:t xml:space="preserve"> </w:t>
      </w:r>
      <w:r>
        <w:rPr>
          <w:rStyle w:val="VerbatimChar"/>
        </w:rPr>
        <w:t xml:space="preserve">/settle</w:t>
      </w:r>
      <w:r>
        <w:t xml:space="preserve">. There</w:t>
      </w:r>
      <w:r>
        <w:t xml:space="preserve"> </w:t>
      </w:r>
      <w:r>
        <w:t xml:space="preserve">is no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 </w:t>
      </w:r>
      <w:r>
        <w:t xml:space="preserve">call: under</w:t>
      </w:r>
      <w:r>
        <w:t xml:space="preserve"> </w:t>
      </w:r>
      <w:r>
        <w:rPr>
          <w:rStyle w:val="VerbatimChar"/>
        </w:rPr>
        <w:t xml:space="preserve">upfront</w:t>
      </w:r>
      <w:r>
        <w:t xml:space="preserve"> </w:t>
      </w:r>
      <w:r>
        <w:t xml:space="preserve">the transfer already exists on chain, so there is</w:t>
      </w:r>
      <w:r>
        <w:t xml:space="preserve"> </w:t>
      </w:r>
      <w:r>
        <w:t xml:space="preserve">nothing to pre-check that</w:t>
      </w:r>
      <w:r>
        <w:t xml:space="preserve"> </w:t>
      </w:r>
      <w:r>
        <w:rPr>
          <w:rStyle w:val="VerbatimChar"/>
        </w:rPr>
        <w:t xml:space="preserve">/settle</w:t>
      </w:r>
      <w:r>
        <w:t xml:space="preserve"> </w:t>
      </w:r>
      <w:r>
        <w:t xml:space="preserve">does not check. The facilitator may run in-process.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Facilitator</w:t>
      </w:r>
      <w:r>
        <w:t xml:space="preserve"> </w:t>
      </w:r>
      <w:r>
        <w:t xml:space="preserve">enforces every rule in</w:t>
      </w:r>
      <w:r>
        <w:t xml:space="preserve"> </w:t>
      </w:r>
      <w:r>
        <w:t xml:space="preserve">“Facilitator Settlement Rules”</w:t>
      </w:r>
      <w:r>
        <w:t xml:space="preserve">, reading the interaction</w:t>
      </w:r>
      <w:r>
        <w:t xml:space="preserve"> </w:t>
      </w:r>
      <w:r>
        <w:t xml:space="preserve">and its receipt back from the chain (</w:t>
      </w:r>
      <w:r>
        <w:rPr>
          <w:rStyle w:val="VerbatimChar"/>
        </w:rPr>
        <w:t xml:space="preserve">moi.InteractionByHash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moi.InteractionReceipt</w:t>
      </w:r>
      <w:r>
        <w:t xml:space="preserve">), marks</w:t>
      </w:r>
      <w:r>
        <w:t xml:space="preserve"> </w:t>
      </w:r>
      <w:r>
        <w:t xml:space="preserve">the transfer hash spent, and returns the settlement result.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Resource Server</w:t>
      </w:r>
      <w:r>
        <w:t xml:space="preserve"> </w:t>
      </w:r>
      <w:r>
        <w:t xml:space="preserve">executes the request and returns the resource, attaching the</w:t>
      </w:r>
      <w:r>
        <w:t xml:space="preserve"> </w:t>
      </w:r>
      <w:r>
        <w:rPr>
          <w:rStyle w:val="VerbatimChar"/>
        </w:rPr>
        <w:t xml:space="preserve">PAYMENT-RESPONSE</w:t>
      </w:r>
      <w:r>
        <w:t xml:space="preserve"> </w:t>
      </w:r>
      <w:r>
        <w:t xml:space="preserve">header.</w:t>
      </w:r>
    </w:p>
    <w:p>
      <w:pPr>
        <w:pStyle w:val="Heading4"/>
      </w:pPr>
      <w:r>
        <w:rPr>
          <w:rStyle w:val="VerbatimChar"/>
        </w:rPr>
        <w:t xml:space="preserve">PaymentRequirements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exact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The wire shape the seller emits in</w:t>
      </w:r>
      <w:r>
        <w:t xml:space="preserve"> </w:t>
      </w:r>
      <w:r>
        <w:rPr>
          <w:rStyle w:val="VerbatimChar"/>
        </w:rPr>
        <w:t xml:space="preserve">PAYMENT-REQUIRED</w:t>
      </w:r>
      <w:r>
        <w:t xml:space="preserve">. Three</w:t>
      </w:r>
      <w:r>
        <w:t xml:space="preserve"> </w:t>
      </w:r>
      <w:r>
        <w:rPr>
          <w:rStyle w:val="VerbatimChar"/>
        </w:rPr>
        <w:t xml:space="preserve">extra</w:t>
      </w:r>
      <w:r>
        <w:t xml:space="preserve"> </w:t>
      </w:r>
      <w:r>
        <w:t xml:space="preserve">keys:</w:t>
      </w:r>
      <w:r>
        <w:t xml:space="preserve"> </w:t>
      </w:r>
      <w:r>
        <w:rPr>
          <w:rStyle w:val="VerbatimChar"/>
        </w:rPr>
        <w:t xml:space="preserve">paymentFlow</w:t>
      </w:r>
      <w:r>
        <w:t xml:space="preserve">, which core writes itself once the scheme declares the flow;</w:t>
      </w:r>
      <w:r>
        <w:t xml:space="preserve"> </w:t>
      </w:r>
      <w:r>
        <w:rPr>
          <w:rStyle w:val="VerbatimChar"/>
        </w:rPr>
        <w:t xml:space="preserve">areFeesSponsored</w:t>
      </w:r>
      <w:r>
        <w:t xml:space="preserve">, which the facilitator advertises through</w:t>
      </w:r>
      <w:r>
        <w:t xml:space="preserve"> </w:t>
      </w:r>
      <w:r>
        <w:rPr>
          <w:rStyle w:val="VerbatimChar"/>
        </w:rPr>
        <w:t xml:space="preserve">getExtra</w:t>
      </w:r>
      <w:r>
        <w:t xml:space="preserve"> </w:t>
      </w:r>
      <w:r>
        <w:t xml:space="preserve">exactly as Stellar does; and</w:t>
      </w:r>
      <w:r>
        <w:t xml:space="preserve"> </w:t>
      </w:r>
      <w:r>
        <w:rPr>
          <w:rStyle w:val="VerbatimChar"/>
        </w:rPr>
        <w:t xml:space="preserve">resource</w:t>
      </w:r>
      <w:r>
        <w:t xml:space="preserve">, which the server half copies in so the buyer can sign over it. No</w:t>
      </w:r>
      <w:r>
        <w:t xml:space="preserve"> </w:t>
      </w:r>
      <w:r>
        <w:rPr>
          <w:rStyle w:val="VerbatimChar"/>
        </w:rPr>
        <w:t xml:space="preserve">assetTransferMethod</w:t>
      </w:r>
      <w:r>
        <w:t xml:space="preserve">, because MOI has only one way to move a native asset.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"scheme": "exact",</w:t>
      </w:r>
      <w:r>
        <w:br/>
      </w:r>
      <w:r>
        <w:rPr>
          <w:rStyle w:val="VerbatimChar"/>
        </w:rPr>
        <w:t xml:space="preserve">  "network": "moi:devnet",</w:t>
      </w:r>
      <w:r>
        <w:br/>
      </w:r>
      <w:r>
        <w:rPr>
          <w:rStyle w:val="VerbatimChar"/>
        </w:rPr>
        <w:t xml:space="preserve">  "asset": "0x9a8b…",                    // 32-byte asset identifier (MAS0 or MASN), hex</w:t>
      </w:r>
      <w:r>
        <w:br/>
      </w:r>
      <w:r>
        <w:rPr>
          <w:rStyle w:val="VerbatimChar"/>
        </w:rPr>
        <w:t xml:space="preserve">  "amount": "1000",                       // atomic units, decimal string</w:t>
      </w:r>
      <w:r>
        <w:br/>
      </w:r>
      <w:r>
        <w:rPr>
          <w:rStyle w:val="VerbatimChar"/>
        </w:rPr>
        <w:t xml:space="preserve">  "payTo": "0x00000000…",                 // seller's 32-byte participant identifier, hex</w:t>
      </w:r>
      <w:r>
        <w:br/>
      </w:r>
      <w:r>
        <w:rPr>
          <w:rStyle w:val="VerbatimChar"/>
        </w:rPr>
        <w:t xml:space="preserve">  "maxTimeoutSeconds": 60,</w:t>
      </w:r>
      <w:r>
        <w:br/>
      </w:r>
      <w:r>
        <w:rPr>
          <w:rStyle w:val="VerbatimChar"/>
        </w:rPr>
        <w:t xml:space="preserve">  "extra": {</w:t>
      </w:r>
      <w:r>
        <w:br/>
      </w:r>
      <w:r>
        <w:rPr>
          <w:rStyle w:val="VerbatimChar"/>
        </w:rPr>
        <w:t xml:space="preserve">    "paymentFlow": "upfront",             // reserved key, emitted by core for non-authorization flows</w:t>
      </w:r>
      <w:r>
        <w:br/>
      </w:r>
      <w:r>
        <w:rPr>
          <w:rStyle w:val="VerbatimChar"/>
        </w:rPr>
        <w:t xml:space="preserve">    "areFeesSponsored": false,            // from the facilitator: the buyer pays its own fuel</w:t>
      </w:r>
      <w:r>
        <w:br/>
      </w:r>
      <w:r>
        <w:rPr>
          <w:rStyle w:val="VerbatimChar"/>
        </w:rPr>
        <w:t xml:space="preserve">    "resource": "https://…"               // the resource URL, so the buyer can sign over it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Field definitions: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network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moi:*</w:t>
      </w:r>
      <w:r>
        <w:t xml:space="preserve"> </w:t>
      </w:r>
      <w:r>
        <w:t xml:space="preserve">CAIP-2 identifier from Supported Networks.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asset</w:t>
      </w:r>
      <w:r>
        <w:t xml:space="preserve"> </w:t>
      </w:r>
      <w:r>
        <w:t xml:space="preserve">— the 32-byte identifier of a protocol-native asset (MAS0, or MASN for KMOI). These</w:t>
      </w:r>
      <w:r>
        <w:t xml:space="preserve"> </w:t>
      </w:r>
      <w:r>
        <w:t xml:space="preserve">assets carry no on-chain decimals or symbol, so amounts are always atomic units.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amount</w:t>
      </w:r>
      <w:r>
        <w:t xml:space="preserve"> </w:t>
      </w:r>
      <w:r>
        <w:t xml:space="preserve">— atomic units, decimal string.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payTo</w:t>
      </w:r>
      <w:r>
        <w:t xml:space="preserve"> </w:t>
      </w:r>
      <w:r>
        <w:t xml:space="preserve">— the seller’s participant identifier.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maxTimeoutSeconds</w:t>
      </w:r>
      <w:r>
        <w:t xml:space="preserve"> </w:t>
      </w:r>
      <w:r>
        <w:t xml:space="preserve">— bounds the claim’s</w:t>
      </w:r>
      <w:r>
        <w:t xml:space="preserve"> </w:t>
      </w:r>
      <w:r>
        <w:rPr>
          <w:rStyle w:val="VerbatimChar"/>
        </w:rPr>
        <w:t xml:space="preserve">validBefore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extra.paymentFlow</w:t>
      </w:r>
      <w:r>
        <w:t xml:space="preserve"> </w:t>
      </w:r>
      <w:r>
        <w:t xml:space="preserve">— always</w:t>
      </w:r>
      <w:r>
        <w:t xml:space="preserve"> </w:t>
      </w:r>
      <w:r>
        <w:rPr>
          <w:rStyle w:val="VerbatimChar"/>
        </w:rPr>
        <w:t xml:space="preserve">"upfront"</w:t>
      </w:r>
      <w:r>
        <w:t xml:space="preserve"> </w:t>
      </w:r>
      <w:r>
        <w:t xml:space="preserve">for this mechanism. This is a protocol-reserved key</w:t>
      </w:r>
      <w:r>
        <w:t xml:space="preserve"> </w:t>
      </w:r>
      <w:r>
        <w:t xml:space="preserve">and core writes it onto the wire itself once the scheme declares the flow; the scheme does not</w:t>
      </w:r>
      <w:r>
        <w:t xml:space="preserve"> </w:t>
      </w:r>
      <w:r>
        <w:t xml:space="preserve">set it by hand.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extra.areFeesSponsored</w:t>
      </w:r>
      <w:r>
        <w:t xml:space="preserve"> </w:t>
      </w:r>
      <w:r>
        <w:t xml:space="preserve">— always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The facilitator advertises it through</w:t>
      </w:r>
      <w:r>
        <w:t xml:space="preserve"> </w:t>
      </w:r>
      <w:r>
        <w:rPr>
          <w:rStyle w:val="VerbatimChar"/>
        </w:rPr>
        <w:t xml:space="preserve">getExtra</w:t>
      </w:r>
      <w:r>
        <w:t xml:space="preserve">,</w:t>
      </w:r>
      <w:r>
        <w:t xml:space="preserve"> </w:t>
      </w:r>
      <w:r>
        <w:t xml:space="preserve">as the Stellar scheme does; core merges it into the requirements. The buyer, or a fee payer it</w:t>
      </w:r>
      <w:r>
        <w:t xml:space="preserve"> </w:t>
      </w:r>
      <w:r>
        <w:t xml:space="preserve">names, pays the fuel.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extra.resource</w:t>
      </w:r>
      <w:r>
        <w:t xml:space="preserve"> </w:t>
      </w:r>
      <w:r>
        <w:t xml:space="preserve">— the URL of the resource being purchased, copied from the request’s</w:t>
      </w:r>
      <w:r>
        <w:t xml:space="preserve"> </w:t>
      </w:r>
      <w:r>
        <w:rPr>
          <w:rStyle w:val="VerbatimChar"/>
        </w:rPr>
        <w:t xml:space="preserve">ResourceInfo</w:t>
      </w:r>
      <w:r>
        <w:t xml:space="preserve">. The buyer signs over it and the facilitator checks it (rule 5).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extra.assetTransferMethod</w:t>
      </w:r>
      <w:r>
        <w:t xml:space="preserve"> </w:t>
      </w:r>
      <w:r>
        <w:t xml:space="preserve">— absent. MOI offers one way to move a native asset, so the scheme</w:t>
      </w:r>
      <w:r>
        <w:t xml:space="preserve"> </w:t>
      </w:r>
      <w:r>
        <w:t xml:space="preserve">declares the SDK’s</w:t>
      </w:r>
      <w:r>
        <w:t xml:space="preserve"> </w:t>
      </w:r>
      <w:r>
        <w:rPr>
          <w:rStyle w:val="VerbatimChar"/>
        </w:rPr>
        <w:t xml:space="preserve">"default"</w:t>
      </w:r>
      <w:r>
        <w:t xml:space="preserve"> </w:t>
      </w:r>
      <w:r>
        <w:t xml:space="preserve">asset transfer method, and core strips the key from the wire.</w:t>
      </w:r>
    </w:p>
    <w:p>
      <w:pPr>
        <w:pStyle w:val="Heading4"/>
      </w:pPr>
      <w:r>
        <w:rPr>
          <w:rStyle w:val="VerbatimChar"/>
        </w:rPr>
        <w:t xml:space="preserve">PAYMENT-SIGNATURE</w:t>
      </w:r>
      <w:r>
        <w:t xml:space="preserve"> </w:t>
      </w:r>
      <w:r>
        <w:t xml:space="preserve">Header Payload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The buyer’s proof. The claim repeats the quoted fields so the facilitator can compare them, and adds the transfer hash, the resource, a validity window and a nonce.</w:t>
      </w:r>
      <w:r>
        <w:t xml:space="preserve"> </w:t>
      </w:r>
      <w:r>
        <w:rPr>
          <w:rStyle w:val="VerbatimChar"/>
        </w:rPr>
        <w:t xml:space="preserve">keyId</w:t>
      </w:r>
      <w:r>
        <w:t xml:space="preserve"> </w:t>
      </w:r>
      <w:r>
        <w:t xml:space="preserve">MUST be 0 because rule 3 derives the paying account from the public key, and only key 0 derives to it.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payload</w:t>
      </w:r>
      <w:r>
        <w:t xml:space="preserve"> </w:t>
      </w:r>
      <w:r>
        <w:t xml:space="preserve">member of the standard</w:t>
      </w:r>
      <w:r>
        <w:t xml:space="preserve"> </w:t>
      </w:r>
      <w:r>
        <w:rPr>
          <w:rStyle w:val="VerbatimChar"/>
        </w:rPr>
        <w:t xml:space="preserve">PaymentPayload</w:t>
      </w:r>
      <w:r>
        <w:t xml:space="preserve"> </w:t>
      </w:r>
      <w:r>
        <w:t xml:space="preserve">envelope carries: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"publicKey": "02a1…",           // buyer's compressed public key, hex, no 0x prefix</w:t>
      </w:r>
      <w:r>
        <w:br/>
      </w:r>
      <w:r>
        <w:rPr>
          <w:rStyle w:val="VerbatimChar"/>
        </w:rPr>
        <w:t xml:space="preserve">  "keyId": 0,                     // MUST be 0: the key the account identifier derives from</w:t>
      </w:r>
      <w:r>
        <w:br/>
      </w:r>
      <w:r>
        <w:rPr>
          <w:rStyle w:val="VerbatimChar"/>
        </w:rPr>
        <w:t xml:space="preserve">  "signature": "0x…",             // ECDSA secp256k1 over the canonical claim bytes</w:t>
      </w:r>
      <w:r>
        <w:br/>
      </w:r>
      <w:r>
        <w:rPr>
          <w:rStyle w:val="VerbatimChar"/>
        </w:rPr>
        <w:t xml:space="preserve">  "claim": {</w:t>
      </w:r>
      <w:r>
        <w:br/>
      </w:r>
      <w:r>
        <w:rPr>
          <w:rStyle w:val="VerbatimChar"/>
        </w:rPr>
        <w:t xml:space="preserve">    "from":        "0x00000000…", // the paying account</w:t>
      </w:r>
      <w:r>
        <w:br/>
      </w:r>
      <w:r>
        <w:rPr>
          <w:rStyle w:val="VerbatimChar"/>
        </w:rPr>
        <w:t xml:space="preserve">    "network":     "moi:devnet",  // MUST equal requirements.network</w:t>
      </w:r>
      <w:r>
        <w:br/>
      </w:r>
      <w:r>
        <w:rPr>
          <w:rStyle w:val="VerbatimChar"/>
        </w:rPr>
        <w:t xml:space="preserve">    "to":          "0x00000000…", // MUST equal requirements.payTo</w:t>
      </w:r>
      <w:r>
        <w:br/>
      </w:r>
      <w:r>
        <w:rPr>
          <w:rStyle w:val="VerbatimChar"/>
        </w:rPr>
        <w:t xml:space="preserve">    "asset":       "0x9a8b…",     // MUST equal requirements.asset</w:t>
      </w:r>
      <w:r>
        <w:br/>
      </w:r>
      <w:r>
        <w:rPr>
          <w:rStyle w:val="VerbatimChar"/>
        </w:rPr>
        <w:t xml:space="preserve">    "value":       "1000",        // atomic units, decimal string</w:t>
      </w:r>
      <w:r>
        <w:br/>
      </w:r>
      <w:r>
        <w:rPr>
          <w:rStyle w:val="VerbatimChar"/>
        </w:rPr>
        <w:t xml:space="preserve">    "txHash":      "0x…",         // interaction hash of the ALREADY-SETTLED transfer</w:t>
      </w:r>
      <w:r>
        <w:br/>
      </w:r>
      <w:r>
        <w:rPr>
          <w:rStyle w:val="VerbatimChar"/>
        </w:rPr>
        <w:t xml:space="preserve">    "resource":    "https://…",   // what was bought; binds the payment to one request</w:t>
      </w:r>
      <w:r>
        <w:br/>
      </w:r>
      <w:r>
        <w:rPr>
          <w:rStyle w:val="VerbatimChar"/>
        </w:rPr>
        <w:t xml:space="preserve">    "validAfter":  "1757000000",  // unix seconds</w:t>
      </w:r>
      <w:r>
        <w:br/>
      </w:r>
      <w:r>
        <w:rPr>
          <w:rStyle w:val="VerbatimChar"/>
        </w:rPr>
        <w:t xml:space="preserve">    "validBefore": "1757000060",</w:t>
      </w:r>
      <w:r>
        <w:br/>
      </w:r>
      <w:r>
        <w:rPr>
          <w:rStyle w:val="VerbatimChar"/>
        </w:rPr>
        <w:t xml:space="preserve">    "nonce":       "0x…"          // 32 random bytes; see rule 8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Heading5"/>
      </w:pPr>
      <w:r>
        <w:t xml:space="preserve">Canonical claim bytes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The one place this spec defines a convention of its own rather than describing MOI wire behaviour. A positional JSON array with a domain separator, and an exact encoding rule so a Go or Python facilitator produces the same bytes as the TypeScript client. The escaping paragraph was added after review because</w:t>
      </w:r>
      <w:r>
        <w:t xml:space="preserve"> </w:t>
      </w:r>
      <w:r>
        <w:rPr>
          <w:rStyle w:val="VerbatimChar"/>
        </w:rPr>
        <w:t xml:space="preserve">JSON.stringify</w:t>
      </w:r>
      <w:r>
        <w:t xml:space="preserve"> </w:t>
      </w:r>
      <w:r>
        <w:t xml:space="preserve">and Go’s default encoder disagree on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.</w:t>
      </w:r>
    </w:p>
    <w:p>
      <w:pPr>
        <w:pStyle w:val="FirstParagraph"/>
      </w:pPr>
      <w:r>
        <w:t xml:space="preserve">Signer and verifier MUST produce identical bytes, so the claim is serialized positionally, with a</w:t>
      </w:r>
      <w:r>
        <w:t xml:space="preserve"> </w:t>
      </w:r>
      <w:r>
        <w:t xml:space="preserve">domain separator as the first element:</w:t>
      </w:r>
    </w:p>
    <w:p>
      <w:pPr>
        <w:pStyle w:val="SourceCode"/>
      </w:pPr>
      <w:r>
        <w:rPr>
          <w:rStyle w:val="VerbatimChar"/>
        </w:rPr>
        <w:t xml:space="preserve">["moi-x402-payment-claim-v1", from, network, to, asset, value, txHash, resource, validAfter, validBefore, nonce]</w:t>
      </w:r>
    </w:p>
    <w:p>
      <w:pPr>
        <w:pStyle w:val="FirstParagraph"/>
      </w:pPr>
      <w:r>
        <w:t xml:space="preserve">The UTF-8 encoding of that JSON array is the message signed. The domain separator prevents a</w:t>
      </w:r>
      <w:r>
        <w:t xml:space="preserve"> </w:t>
      </w:r>
      <w:r>
        <w:t xml:space="preserve">signature produced here from being valid as a signature over anything else the same key signs.</w:t>
      </w:r>
    </w:p>
    <w:p>
      <w:pPr>
        <w:pStyle w:val="BodyText"/>
      </w:pPr>
      <w:r>
        <w:t xml:space="preserve">Encoding MUST be exact so that implementations in different languages agree: no whitespace</w:t>
      </w:r>
      <w:r>
        <w:t xml:space="preserve"> </w:t>
      </w:r>
      <w:r>
        <w:t xml:space="preserve">between elements; every element a JSON string; string escaping limited to</w:t>
      </w:r>
      <w:r>
        <w:t xml:space="preserve"> </w:t>
      </w:r>
      <w:r>
        <w:rPr>
          <w:rStyle w:val="VerbatimChar"/>
        </w:rPr>
        <w:t xml:space="preserve">"</w:t>
      </w:r>
      <w:r>
        <w:t xml:space="preserve">,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and control</w:t>
      </w:r>
      <w:r>
        <w:t xml:space="preserve"> </w:t>
      </w:r>
      <w:r>
        <w:t xml:space="preserve">characters U+0000–U+001F (as</w:t>
      </w:r>
      <w:r>
        <w:t xml:space="preserve"> </w:t>
      </w:r>
      <w:r>
        <w:rPr>
          <w:rStyle w:val="VerbatimChar"/>
        </w:rPr>
        <w:t xml:space="preserve">\uXXXX</w:t>
      </w:r>
      <w:r>
        <w:t xml:space="preserve">, or the short forms</w:t>
      </w:r>
      <w:r>
        <w:t xml:space="preserve"> </w:t>
      </w:r>
      <w:r>
        <w:rPr>
          <w:rStyle w:val="VerbatimChar"/>
        </w:rPr>
        <w:t xml:space="preserve">\n</w:t>
      </w:r>
      <w:r>
        <w:t xml:space="preserve">,</w:t>
      </w:r>
      <w:r>
        <w:t xml:space="preserve"> </w:t>
      </w:r>
      <w:r>
        <w:rPr>
          <w:rStyle w:val="VerbatimChar"/>
        </w:rPr>
        <w:t xml:space="preserve">\r</w:t>
      </w:r>
      <w:r>
        <w:t xml:space="preserve">,</w:t>
      </w:r>
      <w:r>
        <w:t xml:space="preserve"> </w:t>
      </w:r>
      <w:r>
        <w:rPr>
          <w:rStyle w:val="VerbatimChar"/>
        </w:rPr>
        <w:t xml:space="preserve">\t</w:t>
      </w:r>
      <w:r>
        <w:t xml:space="preserve">,</w:t>
      </w:r>
      <w:r>
        <w:t xml:space="preserve"> </w:t>
      </w:r>
      <w:r>
        <w:rPr>
          <w:rStyle w:val="VerbatimChar"/>
        </w:rPr>
        <w:t xml:space="preserve">\b</w:t>
      </w:r>
      <w:r>
        <w:t xml:space="preserve">,</w:t>
      </w:r>
      <w:r>
        <w:t xml:space="preserve"> </w:t>
      </w:r>
      <w:r>
        <w:rPr>
          <w:rStyle w:val="VerbatimChar"/>
        </w:rPr>
        <w:t xml:space="preserve">\f</w:t>
      </w:r>
      <w:r>
        <w:t xml:space="preserve">); no</w:t>
      </w:r>
      <w:r>
        <w:t xml:space="preserve"> </w:t>
      </w:r>
      <w:r>
        <w:t xml:space="preserve">escaping of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, and no</w:t>
      </w:r>
      <w:r>
        <w:t xml:space="preserve"> </w:t>
      </w:r>
      <w:r>
        <w:rPr>
          <w:rStyle w:val="VerbatimChar"/>
        </w:rPr>
        <w:t xml:space="preserve">\u</w:t>
      </w:r>
      <w:r>
        <w:t xml:space="preserve"> </w:t>
      </w:r>
      <w:r>
        <w:t xml:space="preserve">escaping of any character above U+001F. This is what</w:t>
      </w:r>
      <w:r>
        <w:t xml:space="preserve"> </w:t>
      </w:r>
      <w:r>
        <w:t xml:space="preserve">JavaScript’s</w:t>
      </w:r>
      <w:r>
        <w:t xml:space="preserve"> </w:t>
      </w:r>
      <w:r>
        <w:rPr>
          <w:rStyle w:val="VerbatimChar"/>
        </w:rPr>
        <w:t xml:space="preserve">JSON.stringify</w:t>
      </w:r>
      <w:r>
        <w:t xml:space="preserve"> </w:t>
      </w:r>
      <w:r>
        <w:t xml:space="preserve">produces; other encoders MUST be configured to match (for example,</w:t>
      </w:r>
      <w:r>
        <w:t xml:space="preserve"> </w:t>
      </w:r>
      <w:r>
        <w:t xml:space="preserve">Go’s</w:t>
      </w:r>
      <w:r>
        <w:t xml:space="preserve"> </w:t>
      </w:r>
      <w:r>
        <w:rPr>
          <w:rStyle w:val="VerbatimChar"/>
        </w:rPr>
        <w:t xml:space="preserve">SetEscapeHTML(false)</w:t>
      </w:r>
      <w:r>
        <w:t xml:space="preserve">, Python’s</w:t>
      </w:r>
      <w:r>
        <w:t xml:space="preserve"> </w:t>
      </w:r>
      <w:r>
        <w:rPr>
          <w:rStyle w:val="VerbatimChar"/>
        </w:rPr>
        <w:t xml:space="preserve">ensure_ascii=False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separators=(",", ":")</w:t>
      </w:r>
      <w:r>
        <w:t xml:space="preserve">).</w:t>
      </w:r>
    </w:p>
    <w:p>
      <w:pPr>
        <w:pStyle w:val="Heading5"/>
      </w:pPr>
      <w:r>
        <w:t xml:space="preserve">Why a claim exists at all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Answers the obvious reviewer question: why not just send the transfer hash. Because the hash is public the moment it is mined.</w:t>
      </w:r>
    </w:p>
    <w:p>
      <w:pPr>
        <w:pStyle w:val="FirstParagraph"/>
      </w:pPr>
      <w:r>
        <w:t xml:space="preserve">The transfer hash is public the moment it is mined; anyone watching the chain can copy it. The</w:t>
      </w:r>
      <w:r>
        <w:t xml:space="preserve"> </w:t>
      </w:r>
      <w:r>
        <w:t xml:space="preserve">claim is what stops a lifted hash being redeemed by someone other than the payer: it is signed by</w:t>
      </w:r>
      <w:r>
        <w:t xml:space="preserve"> </w:t>
      </w:r>
      <w:r>
        <w:t xml:space="preserve">a key that must derive to the paying account, it names one</w:t>
      </w:r>
      <w:r>
        <w:t xml:space="preserve"> </w:t>
      </w:r>
      <w:r>
        <w:rPr>
          <w:rStyle w:val="VerbatimChar"/>
        </w:rPr>
        <w:t xml:space="preserve">resource</w:t>
      </w:r>
      <w:r>
        <w:t xml:space="preserve">, it carries a validity</w:t>
      </w:r>
      <w:r>
        <w:t xml:space="preserve"> </w:t>
      </w:r>
      <w:r>
        <w:t xml:space="preserve">window and a nonce, and the transfer hash is marked spent on settlement.</w:t>
      </w:r>
    </w:p>
    <w:p>
      <w:pPr>
        <w:pStyle w:val="Heading4"/>
      </w:pPr>
      <w:r>
        <w:t xml:space="preserve">Facilitator Settlement Rules (MUST)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Eight rules. Each is one step in the package’s</w:t>
      </w:r>
      <w:r>
        <w:t xml:space="preserve"> </w:t>
      </w:r>
      <w:r>
        <w:rPr>
          <w:rStyle w:val="VerbatimChar"/>
        </w:rPr>
        <w:t xml:space="preserve">settle</w:t>
      </w:r>
      <w:r>
        <w:t xml:space="preserve">, and each failure returns a namespaced</w:t>
      </w:r>
      <w:r>
        <w:t xml:space="preserve"> </w:t>
      </w:r>
      <w:r>
        <w:rPr>
          <w:rStyle w:val="VerbatimChar"/>
        </w:rPr>
        <w:t xml:space="preserve">errorReason</w:t>
      </w:r>
      <w:r>
        <w:t xml:space="preserve"> </w:t>
      </w:r>
      <w:r>
        <w:t xml:space="preserve">(the README in PR 3 maps reasons to rules). The rules run in</w:t>
      </w:r>
      <w:r>
        <w:t xml:space="preserve"> </w:t>
      </w:r>
      <w:r>
        <w:rPr>
          <w:rStyle w:val="VerbatimChar"/>
        </w:rPr>
        <w:t xml:space="preserve">/settle</w:t>
      </w:r>
      <w:r>
        <w:t xml:space="preserve"> </w:t>
      </w:r>
      <w:r>
        <w:t xml:space="preserve">because under</w:t>
      </w:r>
      <w:r>
        <w:t xml:space="preserve"> </w:t>
      </w:r>
      <w:r>
        <w:rPr>
          <w:rStyle w:val="VerbatimChar"/>
        </w:rPr>
        <w:t xml:space="preserve">upfront</w:t>
      </w:r>
      <w:r>
        <w:t xml:space="preserve"> </w:t>
      </w:r>
      <w:r>
        <w:t xml:space="preserve">core never calls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.</w:t>
      </w:r>
    </w:p>
    <w:p>
      <w:pPr>
        <w:pStyle w:val="FirstParagraph"/>
      </w:pPr>
      <w:r>
        <w:t xml:space="preserve">Because the flow is</w:t>
      </w:r>
      <w:r>
        <w:t xml:space="preserve"> </w:t>
      </w:r>
      <w:r>
        <w:rPr>
          <w:rStyle w:val="VerbatimChar"/>
        </w:rPr>
        <w:t xml:space="preserve">upfront</w:t>
      </w:r>
      <w:r>
        <w:t xml:space="preserve">, these rules run inside</w:t>
      </w:r>
      <w:r>
        <w:t xml:space="preserve"> </w:t>
      </w:r>
      <w:r>
        <w:rPr>
          <w:rStyle w:val="VerbatimChar"/>
        </w:rPr>
        <w:t xml:space="preserve">/settle</w:t>
      </w:r>
      <w:r>
        <w:t xml:space="preserve">. A facilitator MUST reject the</w:t>
      </w:r>
      <w:r>
        <w:t xml:space="preserve"> </w:t>
      </w:r>
      <w:r>
        <w:t xml:space="preserve">settlement if any rule fails.</w:t>
      </w:r>
      <w:r>
        <w:t xml:space="preserve"> </w:t>
      </w:r>
      <w:r>
        <w:rPr>
          <w:rStyle w:val="VerbatimChar"/>
        </w:rPr>
        <w:t xml:space="preserve">SettleResponse.errorReason</w:t>
      </w:r>
      <w:r>
        <w:t xml:space="preserve"> </w:t>
      </w:r>
      <w:r>
        <w:t xml:space="preserve">is a free-form string; this spec does</w:t>
      </w:r>
      <w:r>
        <w:t xml:space="preserve"> </w:t>
      </w:r>
      <w:r>
        <w:t xml:space="preserve">not define a vocabulary, and implementations SHOULD namespace their reasons as the Stellar scheme</w:t>
      </w:r>
      <w:r>
        <w:t xml:space="preserve"> </w:t>
      </w:r>
      <w:r>
        <w:t xml:space="preserve">does.</w:t>
      </w:r>
    </w:p>
    <w:p>
      <w:pPr>
        <w:pStyle w:val="Heading5"/>
      </w:pPr>
      <w:r>
        <w:t xml:space="preserve">1. Shape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Presence check, before anything is parsed.</w:t>
      </w:r>
    </w:p>
    <w:p>
      <w:pPr>
        <w:pStyle w:val="FirstParagraph"/>
      </w:pPr>
      <w:r>
        <w:rPr>
          <w:rStyle w:val="VerbatimChar"/>
        </w:rPr>
        <w:t xml:space="preserve">claim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signature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publicKey</w:t>
      </w:r>
      <w:r>
        <w:t xml:space="preserve"> </w:t>
      </w:r>
      <w:r>
        <w:t xml:space="preserve">MUST be present.</w:t>
      </w:r>
    </w:p>
    <w:p>
      <w:pPr>
        <w:pStyle w:val="Heading5"/>
      </w:pPr>
      <w:r>
        <w:t xml:space="preserve">2. Signature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ECDSA secp256k1 over the canonical bytes, verified through js-moi-sdk’s own</w:t>
      </w:r>
      <w:r>
        <w:t xml:space="preserve"> </w:t>
      </w:r>
      <w:r>
        <w:rPr>
          <w:rStyle w:val="VerbatimChar"/>
        </w:rPr>
        <w:t xml:space="preserve">Signer.verify</w:t>
      </w:r>
      <w:r>
        <w:t xml:space="preserve"> </w:t>
      </w:r>
      <w:r>
        <w:t xml:space="preserve">(blake2b-256 digest). Nothing is re-implemented.</w:t>
      </w:r>
    </w:p>
    <w:p>
      <w:pPr>
        <w:pStyle w:val="FirstParagraph"/>
      </w:pPr>
      <w:r>
        <w:t xml:space="preserve">The ECDSA secp256k1 signature over the canonical claim bytes MUST verify against</w:t>
      </w:r>
      <w:r>
        <w:t xml:space="preserve"> </w:t>
      </w:r>
      <w:r>
        <w:rPr>
          <w:rStyle w:val="VerbatimChar"/>
        </w:rPr>
        <w:t xml:space="preserve">publicKey</w:t>
      </w:r>
      <w:r>
        <w:t xml:space="preserve">.</w:t>
      </w:r>
    </w:p>
    <w:p>
      <w:pPr>
        <w:pStyle w:val="Heading5"/>
      </w:pPr>
      <w:r>
        <w:t xml:space="preserve">3. Key controls payer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The rule that defeats a lifted hash: the key that signed must derive to</w:t>
      </w:r>
      <w:r>
        <w:t xml:space="preserve"> </w:t>
      </w:r>
      <w:r>
        <w:rPr>
          <w:rStyle w:val="VerbatimChar"/>
        </w:rPr>
        <w:t xml:space="preserve">claim.from</w:t>
      </w:r>
      <w:r>
        <w:t xml:space="preserve">. Derivation is the SDK’s</w:t>
      </w:r>
      <w:r>
        <w:t xml:space="preserve"> </w:t>
      </w:r>
      <w:r>
        <w:rPr>
          <w:rStyle w:val="VerbatimChar"/>
        </w:rPr>
        <w:t xml:space="preserve">Wallet.getIdentifier</w:t>
      </w:r>
      <w:r>
        <w:t xml:space="preserve"> </w:t>
      </w:r>
      <w:r>
        <w:t xml:space="preserve">(v0 tag, 24 key bytes, variant 0), so sub-accounts fail today; a later version may derive with the claimed variant.</w:t>
      </w:r>
    </w:p>
    <w:p>
      <w:pPr>
        <w:pStyle w:val="FirstParagraph"/>
      </w:pPr>
      <w:r>
        <w:t xml:space="preserve">The participant identifier derived from</w:t>
      </w:r>
      <w:r>
        <w:t xml:space="preserve"> </w:t>
      </w:r>
      <w:r>
        <w:rPr>
          <w:rStyle w:val="VerbatimChar"/>
        </w:rPr>
        <w:t xml:space="preserve">publicKey</w:t>
      </w:r>
      <w:r>
        <w:t xml:space="preserve"> </w:t>
      </w:r>
      <w:r>
        <w:t xml:space="preserve">MUST equal</w:t>
      </w:r>
      <w:r>
        <w:t xml:space="preserve"> </w:t>
      </w:r>
      <w:r>
        <w:rPr>
          <w:rStyle w:val="VerbatimChar"/>
        </w:rPr>
        <w:t xml:space="preserve">claim.from</w:t>
      </w:r>
      <w:r>
        <w:t xml:space="preserve">. A valid signature</w:t>
      </w:r>
      <w:r>
        <w:t xml:space="preserve"> </w:t>
      </w:r>
      <w:r>
        <w:t xml:space="preserve">alone could still merely claim someone else’s transfer; this rule defeats a lifted hash.</w:t>
      </w:r>
    </w:p>
    <w:p>
      <w:pPr>
        <w:pStyle w:val="BodyText"/>
      </w:pPr>
      <w:r>
        <w:t xml:space="preserve">Because the identifier derives from one key, the claim MUST be signed with that key (</w:t>
      </w:r>
      <w:r>
        <w:rPr>
          <w:rStyle w:val="VerbatimChar"/>
        </w:rPr>
        <w:t xml:space="preserve">keyId</w:t>
      </w:r>
      <w:r>
        <w:t xml:space="preserve"> </w:t>
      </w:r>
      <w:r>
        <w:rPr>
          <w:rStyle w:val="VerbatimChar"/>
        </w:rPr>
        <w:t xml:space="preserve">0</w:t>
      </w:r>
      <w:r>
        <w:t xml:space="preserve">). Accepting the account’s other keys would require checking</w:t>
      </w:r>
      <w:r>
        <w:t xml:space="preserve"> </w:t>
      </w:r>
      <w:r>
        <w:rPr>
          <w:rStyle w:val="VerbatimChar"/>
        </w:rPr>
        <w:t xml:space="preserve">publicKey</w:t>
      </w:r>
      <w:r>
        <w:t xml:space="preserve"> </w:t>
      </w:r>
      <w:r>
        <w:t xml:space="preserve">against the</w:t>
      </w:r>
      <w:r>
        <w:t xml:space="preserve"> </w:t>
      </w:r>
      <w:r>
        <w:t xml:space="preserve">account’s registered keys on chain instead of deriving; a later version MAY add that. The</w:t>
      </w:r>
      <w:r>
        <w:t xml:space="preserve"> </w:t>
      </w:r>
      <w:r>
        <w:t xml:space="preserve">derivation uses variant</w:t>
      </w:r>
      <w:r>
        <w:t xml:space="preserve"> </w:t>
      </w:r>
      <w:r>
        <w:rPr>
          <w:rStyle w:val="VerbatimChar"/>
        </w:rPr>
        <w:t xml:space="preserve">0</w:t>
      </w:r>
      <w:r>
        <w:t xml:space="preserve">, so a sub-account identifier (non-zero variant) fails this rule; a</w:t>
      </w:r>
      <w:r>
        <w:t xml:space="preserve"> </w:t>
      </w:r>
      <w:r>
        <w:t xml:space="preserve">later version MAY derive with the variant the claim names.</w:t>
      </w:r>
    </w:p>
    <w:p>
      <w:pPr>
        <w:pStyle w:val="Heading5"/>
      </w:pPr>
      <w:r>
        <w:t xml:space="preserve">4. Claim matches quote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rPr>
          <w:rStyle w:val="VerbatimChar"/>
        </w:rPr>
        <w:t xml:space="preserve">network</w:t>
      </w:r>
      <w:r>
        <w:t xml:space="preserve"> </w:t>
      </w:r>
      <w:r>
        <w:t xml:space="preserve">was added to this rule on 10 September, with</w:t>
      </w:r>
      <w:r>
        <w:t xml:space="preserve"> </w:t>
      </w:r>
      <w:r>
        <w:rPr>
          <w:rStyle w:val="VerbatimChar"/>
        </w:rPr>
        <w:t xml:space="preserve">network</w:t>
      </w:r>
      <w:r>
        <w:t xml:space="preserve"> </w:t>
      </w:r>
      <w:r>
        <w:t xml:space="preserve">added to the claim, so a claim signed for one MOI network cannot settle on another (identifiers are the same on every network).</w:t>
      </w:r>
    </w:p>
    <w:p>
      <w:pPr>
        <w:pStyle w:val="FirstParagraph"/>
      </w:pPr>
      <w:r>
        <w:rPr>
          <w:rStyle w:val="VerbatimChar"/>
        </w:rPr>
        <w:t xml:space="preserve">claim.network</w:t>
      </w:r>
      <w:r>
        <w:t xml:space="preserve"> </w:t>
      </w:r>
      <w:r>
        <w:t xml:space="preserve">MUST equal</w:t>
      </w:r>
      <w:r>
        <w:t xml:space="preserve"> </w:t>
      </w:r>
      <w:r>
        <w:rPr>
          <w:rStyle w:val="VerbatimChar"/>
        </w:rPr>
        <w:t xml:space="preserve">requirements.network</w:t>
      </w:r>
      <w:r>
        <w:t xml:space="preserve">;</w:t>
      </w:r>
      <w:r>
        <w:t xml:space="preserve"> </w:t>
      </w:r>
      <w:r>
        <w:rPr>
          <w:rStyle w:val="VerbatimChar"/>
        </w:rPr>
        <w:t xml:space="preserve">claim.asset</w:t>
      </w:r>
      <w:r>
        <w:t xml:space="preserve"> </w:t>
      </w:r>
      <w:r>
        <w:t xml:space="preserve">MUST equal</w:t>
      </w:r>
      <w:r>
        <w:t xml:space="preserve"> </w:t>
      </w:r>
      <w:r>
        <w:rPr>
          <w:rStyle w:val="VerbatimChar"/>
        </w:rPr>
        <w:t xml:space="preserve">requirements.asset</w:t>
      </w:r>
      <w:r>
        <w:t xml:space="preserve">;</w:t>
      </w:r>
      <w:r>
        <w:t xml:space="preserve"> </w:t>
      </w:r>
      <w:r>
        <w:rPr>
          <w:rStyle w:val="VerbatimChar"/>
        </w:rPr>
        <w:t xml:space="preserve">claim.to</w:t>
      </w:r>
      <w:r>
        <w:t xml:space="preserve"> </w:t>
      </w:r>
      <w:r>
        <w:t xml:space="preserve">MUST equal</w:t>
      </w:r>
      <w:r>
        <w:t xml:space="preserve"> </w:t>
      </w:r>
      <w:r>
        <w:rPr>
          <w:rStyle w:val="VerbatimChar"/>
        </w:rPr>
        <w:t xml:space="preserve">requirements.payTo</w:t>
      </w:r>
      <w:r>
        <w:t xml:space="preserve">;</w:t>
      </w:r>
      <w:r>
        <w:t xml:space="preserve"> </w:t>
      </w:r>
      <w:r>
        <w:rPr>
          <w:rStyle w:val="VerbatimChar"/>
        </w:rPr>
        <w:t xml:space="preserve">claim.value</w:t>
      </w:r>
      <w:r>
        <w:t xml:space="preserve"> </w:t>
      </w:r>
      <w:r>
        <w:t xml:space="preserve">MUST be at</w:t>
      </w:r>
      <w:r>
        <w:t xml:space="preserve"> </w:t>
      </w:r>
      <w:r>
        <w:t xml:space="preserve">least</w:t>
      </w:r>
      <w:r>
        <w:t xml:space="preserve"> </w:t>
      </w:r>
      <w:r>
        <w:rPr>
          <w:rStyle w:val="VerbatimChar"/>
        </w:rPr>
        <w:t xml:space="preserve">requirements.amount</w:t>
      </w:r>
      <w:r>
        <w:t xml:space="preserve">.</w:t>
      </w:r>
    </w:p>
    <w:p>
      <w:pPr>
        <w:pStyle w:val="Heading5"/>
      </w:pPr>
      <w:r>
        <w:t xml:space="preserve">5. Resource binding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The check that was dead in the earlier draft. The resource reaches both halves by different routes and the facilitator must compare them, failing closed if core’s</w:t>
      </w:r>
      <w:r>
        <w:t xml:space="preserve"> </w:t>
      </w:r>
      <w:r>
        <w:rPr>
          <w:rStyle w:val="VerbatimChar"/>
        </w:rPr>
        <w:t xml:space="preserve">paymentPayload.resource</w:t>
      </w:r>
      <w:r>
        <w:t xml:space="preserve"> </w:t>
      </w:r>
      <w:r>
        <w:t xml:space="preserve">is absent.</w:t>
      </w:r>
    </w:p>
    <w:p>
      <w:pPr>
        <w:pStyle w:val="FirstParagraph"/>
      </w:pPr>
      <w:r>
        <w:rPr>
          <w:rStyle w:val="VerbatimChar"/>
        </w:rPr>
        <w:t xml:space="preserve">claim.resource</w:t>
      </w:r>
      <w:r>
        <w:t xml:space="preserve"> </w:t>
      </w:r>
      <w:r>
        <w:t xml:space="preserve">MUST equal the resource being purchased. Without this check the</w:t>
      </w:r>
      <w:r>
        <w:t xml:space="preserve"> </w:t>
      </w:r>
      <w:r>
        <w:rPr>
          <w:rStyle w:val="VerbatimChar"/>
        </w:rPr>
        <w:t xml:space="preserve">resource</w:t>
      </w:r>
      <w:r>
        <w:t xml:space="preserve"> </w:t>
      </w:r>
      <w:r>
        <w:t xml:space="preserve">field</w:t>
      </w:r>
      <w:r>
        <w:t xml:space="preserve"> </w:t>
      </w:r>
      <w:r>
        <w:t xml:space="preserve">is signed but unenforced, and a claim made for one resource would settle a request for another on</w:t>
      </w:r>
      <w:r>
        <w:t xml:space="preserve"> </w:t>
      </w:r>
      <w:r>
        <w:t xml:space="preserve">the same seller.</w:t>
      </w:r>
    </w:p>
    <w:p>
      <w:pPr>
        <w:pStyle w:val="BodyText"/>
      </w:pPr>
      <w:r>
        <w:t xml:space="preserve">The resource reaches both halves by different routes, and the facilitator MUST compare them:</w:t>
      </w:r>
      <w:r>
        <w:t xml:space="preserve"> </w:t>
      </w:r>
      <w:r>
        <w:t xml:space="preserve">the seller’s scheme copies it into</w:t>
      </w:r>
      <w:r>
        <w:t xml:space="preserve"> </w:t>
      </w:r>
      <w:r>
        <w:rPr>
          <w:rStyle w:val="VerbatimChar"/>
        </w:rPr>
        <w:t xml:space="preserve">requirements.extra.resource</w:t>
      </w:r>
      <w:r>
        <w:t xml:space="preserve"> </w:t>
      </w:r>
      <w:r>
        <w:t xml:space="preserve">(its</w:t>
      </w:r>
      <w:r>
        <w:t xml:space="preserve"> </w:t>
      </w:r>
      <w:r>
        <w:rPr>
          <w:rStyle w:val="VerbatimChar"/>
        </w:rPr>
        <w:t xml:space="preserve">enrichPaymentRequiredResponse</w:t>
      </w:r>
      <w:r>
        <w:t xml:space="preserve"> </w:t>
      </w:r>
      <w:r>
        <w:t xml:space="preserve">hook receives the</w:t>
      </w:r>
      <w:r>
        <w:t xml:space="preserve"> </w:t>
      </w:r>
      <w:r>
        <w:rPr>
          <w:rStyle w:val="VerbatimChar"/>
        </w:rPr>
        <w:t xml:space="preserve">ResourceInfo</w:t>
      </w:r>
      <w:r>
        <w:t xml:space="preserve">), the buyer signs that value</w:t>
      </w:r>
      <w:r>
        <w:t xml:space="preserve"> </w:t>
      </w:r>
      <w:r>
        <w:t xml:space="preserve">into the claim, and core carries the authoritative</w:t>
      </w:r>
      <w:r>
        <w:t xml:space="preserve"> </w:t>
      </w:r>
      <w:r>
        <w:rPr>
          <w:rStyle w:val="VerbatimChar"/>
        </w:rPr>
        <w:t xml:space="preserve">ResourceInfo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PaymentPayload.resource</w:t>
      </w:r>
      <w:r>
        <w:t xml:space="preserve">.</w:t>
      </w:r>
      <w:r>
        <w:t xml:space="preserve"> </w:t>
      </w:r>
      <w:r>
        <w:t xml:space="preserve">The facilitator MUST compare</w:t>
      </w:r>
      <w:r>
        <w:t xml:space="preserve"> </w:t>
      </w:r>
      <w:r>
        <w:rPr>
          <w:rStyle w:val="VerbatimChar"/>
        </w:rPr>
        <w:t xml:space="preserve">claim.resource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paymentPayload.resource.url</w:t>
      </w:r>
      <w:r>
        <w:t xml:space="preserve">, and MUST</w:t>
      </w:r>
      <w:r>
        <w:t xml:space="preserve"> </w:t>
      </w:r>
      <w:r>
        <w:t xml:space="preserve">fail closed rather than skip the comparison if that field is absent.</w:t>
      </w:r>
    </w:p>
    <w:p>
      <w:pPr>
        <w:pStyle w:val="Heading5"/>
      </w:pPr>
      <w:r>
        <w:t xml:space="preserve">6. Freshness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Two checks: now inside the window, and the window no wider than the seller’s</w:t>
      </w:r>
      <w:r>
        <w:t xml:space="preserve"> </w:t>
      </w:r>
      <w:r>
        <w:rPr>
          <w:rStyle w:val="VerbatimChar"/>
        </w:rPr>
        <w:t xml:space="preserve">maxTimeoutSeconds</w:t>
      </w:r>
      <w:r>
        <w:t xml:space="preserve">. The earlier draft let the buyer widen its own window.</w:t>
      </w:r>
    </w:p>
    <w:p>
      <w:pPr>
        <w:pStyle w:val="FirstParagraph"/>
      </w:pPr>
      <w:r>
        <w:t xml:space="preserve">The current time MUST lie within</w:t>
      </w:r>
      <w:r>
        <w:t xml:space="preserve"> </w:t>
      </w:r>
      <w:r>
        <w:rPr>
          <w:rStyle w:val="VerbatimChar"/>
        </w:rPr>
        <w:t xml:space="preserve">[validAfter, validBefore]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validBefore - validAfter</w:t>
      </w:r>
      <w:r>
        <w:t xml:space="preserve"> </w:t>
      </w:r>
      <w:r>
        <w:t xml:space="preserve">MUST NOT exceed</w:t>
      </w:r>
      <w:r>
        <w:t xml:space="preserve"> </w:t>
      </w:r>
      <w:r>
        <w:rPr>
          <w:rStyle w:val="VerbatimChar"/>
        </w:rPr>
        <w:t xml:space="preserve">requirements.maxTimeoutSeconds</w:t>
      </w:r>
      <w:r>
        <w:t xml:space="preserve">. A buyer that widens</w:t>
      </w:r>
      <w:r>
        <w:t xml:space="preserve"> </w:t>
      </w:r>
      <w:r>
        <w:t xml:space="preserve">its own validity window beyond the quoted timeout MUST be rejected.</w:t>
      </w:r>
    </w:p>
    <w:p>
      <w:pPr>
        <w:pStyle w:val="Heading5"/>
      </w:pPr>
      <w:r>
        <w:t xml:space="preserve">7. The transfer settled on chain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The rule that makes this</w:t>
      </w:r>
      <w:r>
        <w:t xml:space="preserve"> </w:t>
      </w:r>
      <w:r>
        <w:rPr>
          <w:rStyle w:val="VerbatimChar"/>
        </w:rPr>
        <w:t xml:space="preserve">upfront</w:t>
      </w:r>
      <w:r>
        <w:t xml:space="preserve">: the facilitator reads the transfer back and trusts nothing in the payload. The JSON is a real devnet transfer, verified live. The receipt carries neither beneficiary nor amount, so both reads are required and the calldata is POLO-decoded.</w:t>
      </w:r>
      <w:r>
        <w:t xml:space="preserve"> </w:t>
      </w:r>
      <w:r>
        <w:rPr>
          <w:rStyle w:val="VerbatimChar"/>
        </w:rPr>
        <w:t xml:space="preserve">ASSET_INVOKE</w:t>
      </w:r>
      <w:r>
        <w:t xml:space="preserve"> </w:t>
      </w:r>
      <w:r>
        <w:t xml:space="preserve">is op type 5 and the callsite is</w:t>
      </w:r>
      <w:r>
        <w:t xml:space="preserve"> </w:t>
      </w:r>
      <w:r>
        <w:rPr>
          <w:rStyle w:val="VerbatimChar"/>
        </w:rPr>
        <w:t xml:space="preserve">Transfer</w:t>
      </w:r>
      <w:r>
        <w:t xml:space="preserve"> </w:t>
      </w:r>
      <w:r>
        <w:t xml:space="preserve">(go-moi constants, verified). A refused transfer still has a hash and a receipt, hence the status check.</w:t>
      </w:r>
    </w:p>
    <w:p>
      <w:pPr>
        <w:pStyle w:val="FirstParagraph"/>
      </w:pPr>
      <w:r>
        <w:t xml:space="preserve">The facilitator MUST read the transfer back from the chain and MUST NOT trust the payload. The</w:t>
      </w:r>
      <w:r>
        <w:t xml:space="preserve"> </w:t>
      </w:r>
      <w:r>
        <w:t xml:space="preserve">receipt carries neither the beneficiary nor the amount, so the read-back takes both objects:</w:t>
      </w:r>
      <w:r>
        <w:t xml:space="preserve"> </w:t>
      </w:r>
      <w:r>
        <w:rPr>
          <w:rStyle w:val="VerbatimChar"/>
        </w:rPr>
        <w:t xml:space="preserve">moi.InteractionByHash(claim.txHash)</w:t>
      </w:r>
      <w:r>
        <w:t xml:space="preserve"> </w:t>
      </w:r>
      <w:r>
        <w:t xml:space="preserve">for the submitted operation and</w:t>
      </w:r>
      <w:r>
        <w:t xml:space="preserve"> </w:t>
      </w:r>
      <w:r>
        <w:rPr>
          <w:rStyle w:val="VerbatimChar"/>
        </w:rPr>
        <w:t xml:space="preserve">moi.InteractionReceipt(claim.txHash)</w:t>
      </w:r>
      <w:r>
        <w:t xml:space="preserve"> </w:t>
      </w:r>
      <w:r>
        <w:t xml:space="preserve">for its result.</w:t>
      </w:r>
    </w:p>
    <w:p>
      <w:pPr>
        <w:pStyle w:val="BodyText"/>
      </w:pPr>
      <w:r>
        <w:t xml:space="preserve">A settled transfer on Voyage devnet returns:</w:t>
      </w:r>
    </w:p>
    <w:p>
      <w:pPr>
        <w:pStyle w:val="SourceCode"/>
      </w:pPr>
      <w:r>
        <w:rPr>
          <w:rStyle w:val="VerbatimChar"/>
        </w:rPr>
        <w:t xml:space="preserve">// moi.InteractionByHash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"sender": {</w:t>
      </w:r>
      <w:r>
        <w:br/>
      </w:r>
      <w:r>
        <w:rPr>
          <w:rStyle w:val="VerbatimChar"/>
        </w:rPr>
        <w:t xml:space="preserve">    "id": "0x00000000bfa45bc0…",</w:t>
      </w:r>
      <w:r>
        <w:br/>
      </w:r>
      <w:r>
        <w:rPr>
          <w:rStyle w:val="VerbatimChar"/>
        </w:rPr>
        <w:t xml:space="preserve">    "sequence_id": "0x4f",</w:t>
      </w:r>
      <w:r>
        <w:br/>
      </w:r>
      <w:r>
        <w:rPr>
          <w:rStyle w:val="VerbatimChar"/>
        </w:rPr>
        <w:t xml:space="preserve">    "key_id": "0x0"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"ix_operations":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"type": 5,                                   // ASSET_INVOKE</w:t>
      </w:r>
      <w:r>
        <w:br/>
      </w:r>
      <w:r>
        <w:rPr>
          <w:rStyle w:val="VerbatimChar"/>
        </w:rPr>
        <w:t xml:space="preserve">      "payload": {</w:t>
      </w:r>
      <w:r>
        <w:br/>
      </w:r>
      <w:r>
        <w:rPr>
          <w:rStyle w:val="VerbatimChar"/>
        </w:rPr>
        <w:t xml:space="preserve">        "asset_id": "0x108000004cd973c4…",</w:t>
      </w:r>
      <w:r>
        <w:br/>
      </w:r>
      <w:r>
        <w:rPr>
          <w:rStyle w:val="VerbatimChar"/>
        </w:rPr>
        <w:t xml:space="preserve">        "callsite": "Transfer",</w:t>
      </w:r>
      <w:r>
        <w:br/>
      </w:r>
      <w:r>
        <w:rPr>
          <w:rStyle w:val="VerbatimChar"/>
        </w:rPr>
        <w:t xml:space="preserve">        "calldata": "0x0d6f0665…"                  // POLO document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moi.InteractionReceipt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0,                                     // interaction-level: 0 is success</w:t>
      </w:r>
      <w:r>
        <w:br/>
      </w:r>
      <w:r>
        <w:rPr>
          <w:rStyle w:val="VerbatimChar"/>
        </w:rPr>
        <w:t xml:space="preserve">  "fuel_used": "0x12b",</w:t>
      </w:r>
      <w:r>
        <w:br/>
      </w:r>
      <w:r>
        <w:rPr>
          <w:rStyle w:val="VerbatimChar"/>
        </w:rPr>
        <w:t xml:space="preserve">  "from": "0x00000000bfa45bc0…",</w:t>
      </w:r>
      <w:r>
        <w:br/>
      </w:r>
      <w:r>
        <w:rPr>
          <w:rStyle w:val="VerbatimChar"/>
        </w:rPr>
        <w:t xml:space="preserve">  "ix_operations": [</w:t>
      </w:r>
      <w:r>
        <w:br/>
      </w:r>
      <w:r>
        <w:rPr>
          <w:rStyle w:val="VerbatimChar"/>
        </w:rPr>
        <w:t xml:space="preserve">    { "tx_type": "0x5", "status": 0, "data": { "outputs": "0x0d0f", "error": "0x" }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facilitator MUST reject the settlement unless all of the following hold:</w:t>
      </w:r>
    </w:p>
    <w:p>
      <w:pPr>
        <w:pStyle w:val="Compact"/>
        <w:numPr>
          <w:ilvl w:val="0"/>
          <w:numId w:val="1014"/>
        </w:numPr>
      </w:pPr>
      <w:r>
        <w:t xml:space="preserve">The interaction and its receipt both resolve for</w:t>
      </w:r>
      <w:r>
        <w:t xml:space="preserve"> </w:t>
      </w:r>
      <w:r>
        <w:rPr>
          <w:rStyle w:val="VerbatimChar"/>
        </w:rPr>
        <w:t xml:space="preserve">claim.txHash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receipt.status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0</w:t>
      </w:r>
      <w:r>
        <w:t xml:space="preserve">. A refused transfer still yields an interaction hash and a mined</w:t>
      </w:r>
      <w:r>
        <w:t xml:space="preserve"> </w:t>
      </w:r>
      <w:r>
        <w:t xml:space="preserve">receipt, so possession of a hash proves nothing by itself.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interaction.sender.id</w:t>
      </w:r>
      <w:r>
        <w:t xml:space="preserve"> </w:t>
      </w:r>
      <w:r>
        <w:t xml:space="preserve">equals</w:t>
      </w:r>
      <w:r>
        <w:t xml:space="preserve"> </w:t>
      </w:r>
      <w:r>
        <w:rPr>
          <w:rStyle w:val="VerbatimChar"/>
        </w:rPr>
        <w:t xml:space="preserve">claim.from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interaction contains an operation of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(</w:t>
      </w:r>
      <w:r>
        <w:rPr>
          <w:rStyle w:val="VerbatimChar"/>
        </w:rPr>
        <w:t xml:space="preserve">ASSET_INVOKE</w:t>
      </w:r>
      <w:r>
        <w:t xml:space="preserve">) whose payload’s</w:t>
      </w:r>
      <w:r>
        <w:t xml:space="preserve"> </w:t>
      </w:r>
      <w:r>
        <w:rPr>
          <w:rStyle w:val="VerbatimChar"/>
        </w:rPr>
        <w:t xml:space="preserve">asset_id</w:t>
      </w:r>
      <w:r>
        <w:t xml:space="preserve"> </w:t>
      </w:r>
      <w:r>
        <w:t xml:space="preserve">equals</w:t>
      </w:r>
      <w:r>
        <w:t xml:space="preserve"> </w:t>
      </w:r>
      <w:r>
        <w:rPr>
          <w:rStyle w:val="VerbatimChar"/>
        </w:rPr>
        <w:t xml:space="preserve">requirements.asset</w:t>
      </w:r>
      <w:r>
        <w:t xml:space="preserve"> </w:t>
      </w:r>
      <w:r>
        <w:t xml:space="preserve">and whose</w:t>
      </w:r>
      <w:r>
        <w:t xml:space="preserve"> </w:t>
      </w:r>
      <w:r>
        <w:rPr>
          <w:rStyle w:val="VerbatimChar"/>
        </w:rPr>
        <w:t xml:space="preserve">callsite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"Transfer"</w:t>
      </w:r>
      <w:r>
        <w:t xml:space="preserve">. MOI has no dedicated</w:t>
      </w:r>
      <w:r>
        <w:t xml:space="preserve"> </w:t>
      </w:r>
      <w:r>
        <w:t xml:space="preserve">transfer opcode; a transfer is an asset call routed by callsite name.</w:t>
      </w:r>
    </w:p>
    <w:p>
      <w:pPr>
        <w:pStyle w:val="Compact"/>
        <w:numPr>
          <w:ilvl w:val="0"/>
          <w:numId w:val="1014"/>
        </w:numPr>
      </w:pPr>
      <w:r>
        <w:t xml:space="preserve">That operation’s</w:t>
      </w:r>
      <w:r>
        <w:t xml:space="preserve"> </w:t>
      </w:r>
      <w:r>
        <w:rPr>
          <w:rStyle w:val="VerbatimChar"/>
        </w:rPr>
        <w:t xml:space="preserve">calldata</w:t>
      </w:r>
      <w:r>
        <w:t xml:space="preserve">, POLO-decoded, yields a document with a</w:t>
      </w:r>
      <w:r>
        <w:t xml:space="preserve"> </w:t>
      </w:r>
      <w:r>
        <w:rPr>
          <w:rStyle w:val="VerbatimChar"/>
        </w:rPr>
        <w:t xml:space="preserve">beneficiary</w:t>
      </w:r>
      <w:r>
        <w:t xml:space="preserve"> </w:t>
      </w:r>
      <w:r>
        <w:t xml:space="preserve">equal to</w:t>
      </w:r>
      <w:r>
        <w:t xml:space="preserve"> </w:t>
      </w:r>
      <w:r>
        <w:rPr>
          <w:rStyle w:val="VerbatimChar"/>
        </w:rPr>
        <w:t xml:space="preserve">claim.to</w:t>
      </w:r>
      <w:r>
        <w:t xml:space="preserve"> </w:t>
      </w:r>
      <w:r>
        <w:t xml:space="preserve">and an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of at least</w:t>
      </w:r>
      <w:r>
        <w:t xml:space="preserve"> </w:t>
      </w:r>
      <w:r>
        <w:rPr>
          <w:rStyle w:val="VerbatimChar"/>
        </w:rPr>
        <w:t xml:space="preserve">claim.value</w:t>
      </w:r>
      <w:r>
        <w:t xml:space="preserve">.</w:t>
      </w:r>
    </w:p>
    <w:p>
      <w:pPr>
        <w:pStyle w:val="Heading5"/>
      </w:pPr>
      <w:r>
        <w:t xml:space="preserve">8. Replay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The transfer hash, not the nonce, is the single-use key. The spent-store must be durable and its insert atomic; the nonce only makes two claims over one transfer distinguishable.</w:t>
      </w:r>
    </w:p>
    <w:p>
      <w:pPr>
        <w:pStyle w:val="FirstParagraph"/>
      </w:pPr>
      <w:r>
        <w:rPr>
          <w:rStyle w:val="VerbatimChar"/>
        </w:rPr>
        <w:t xml:space="preserve">claim.txHash</w:t>
      </w:r>
      <w:r>
        <w:t xml:space="preserve"> </w:t>
      </w:r>
      <w:r>
        <w:t xml:space="preserve">MUST NOT have been redeemed before. On success the facilitator MUST record it in</w:t>
      </w:r>
      <w:r>
        <w:t xml:space="preserve"> </w:t>
      </w:r>
      <w:r>
        <w:t xml:space="preserve">a spent-store before returning. The spent-store is the replay boundary and MUST be durable</w:t>
      </w:r>
      <w:r>
        <w:t xml:space="preserve"> </w:t>
      </w:r>
      <w:r>
        <w:t xml:space="preserve">across process restarts in production.</w:t>
      </w:r>
    </w:p>
    <w:p>
      <w:pPr>
        <w:pStyle w:val="BodyText"/>
      </w:pPr>
      <w:r>
        <w:t xml:space="preserve">The transfer hash, not the</w:t>
      </w:r>
      <w:r>
        <w:t xml:space="preserve"> </w:t>
      </w:r>
      <w:r>
        <w:rPr>
          <w:rStyle w:val="VerbatimChar"/>
        </w:rPr>
        <w:t xml:space="preserve">nonce</w:t>
      </w:r>
      <w:r>
        <w:t xml:space="preserve">, is what makes a payment single-use: one settled transfer can</w:t>
      </w:r>
      <w:r>
        <w:t xml:space="preserve"> </w:t>
      </w:r>
      <w:r>
        <w:t xml:space="preserve">be redeemed once. The</w:t>
      </w:r>
      <w:r>
        <w:t xml:space="preserve"> </w:t>
      </w:r>
      <w:r>
        <w:rPr>
          <w:rStyle w:val="VerbatimChar"/>
        </w:rPr>
        <w:t xml:space="preserve">nonce</w:t>
      </w:r>
      <w:r>
        <w:t xml:space="preserve"> </w:t>
      </w:r>
      <w:r>
        <w:t xml:space="preserve">exists so that two claims over the same transfer are distinguishable</w:t>
      </w:r>
      <w:r>
        <w:t xml:space="preserve"> </w:t>
      </w:r>
      <w:r>
        <w:t xml:space="preserve">as messages, and facilitators MAY ignore it.</w:t>
      </w:r>
    </w:p>
    <w:p>
      <w:pPr>
        <w:pStyle w:val="Heading4"/>
      </w:pPr>
      <w:r>
        <w:rPr>
          <w:rStyle w:val="VerbatimChar"/>
        </w:rPr>
        <w:t xml:space="preserve">PAYMENT-RESPONSE</w:t>
      </w:r>
      <w:r>
        <w:t xml:space="preserve"> </w:t>
      </w:r>
      <w:r>
        <w:t xml:space="preserve">Header Payload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rPr>
          <w:rStyle w:val="VerbatimChar"/>
        </w:rPr>
        <w:t xml:space="preserve">transaction</w:t>
      </w:r>
      <w:r>
        <w:t xml:space="preserve"> </w:t>
      </w:r>
      <w:r>
        <w:t xml:space="preserve">is the buyer’s own hash, confirmed rather than executed, which is the visible difference from an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mechanism.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"success": true,</w:t>
      </w:r>
      <w:r>
        <w:br/>
      </w:r>
      <w:r>
        <w:rPr>
          <w:rStyle w:val="VerbatimChar"/>
        </w:rPr>
        <w:t xml:space="preserve">  "transaction": "0x…",       // claim.txHash — the buyer's own transfer, confirmed not executed</w:t>
      </w:r>
      <w:r>
        <w:br/>
      </w:r>
      <w:r>
        <w:rPr>
          <w:rStyle w:val="VerbatimChar"/>
        </w:rPr>
        <w:t xml:space="preserve">  "network": "moi:devnet",</w:t>
      </w:r>
      <w:r>
        <w:br/>
      </w:r>
      <w:r>
        <w:rPr>
          <w:rStyle w:val="VerbatimChar"/>
        </w:rPr>
        <w:t xml:space="preserve">  "payer": "0x00000000…",</w:t>
      </w:r>
      <w:r>
        <w:br/>
      </w:r>
      <w:r>
        <w:rPr>
          <w:rStyle w:val="VerbatimChar"/>
        </w:rPr>
        <w:t xml:space="preserve">  "amount": "1000"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On failure,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errorReason</w:t>
      </w:r>
      <w:r>
        <w:t xml:space="preserve"> </w:t>
      </w:r>
      <w:r>
        <w:t xml:space="preserve">names the rule that failed, and</w:t>
      </w:r>
      <w:r>
        <w:t xml:space="preserve"> </w:t>
      </w:r>
      <w:r>
        <w:rPr>
          <w:rStyle w:val="VerbatimChar"/>
        </w:rPr>
        <w:t xml:space="preserve">transaction</w:t>
      </w:r>
      <w:r>
        <w:t xml:space="preserve"> </w:t>
      </w:r>
      <w:r>
        <w:t xml:space="preserve">carries the submitted hash when one was supplied.</w:t>
      </w:r>
    </w:p>
    <w:p>
      <w:pPr>
        <w:pStyle w:val="Heading4"/>
      </w:pPr>
      <w:r>
        <w:t xml:space="preserve">Duplicate Settlement Mitigation (RECOMMENDED)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The same section the SVM and NEAR specs carry. On MOI the race is between the chain read and the spent-store write, so the mitigation is an atomic insert-if-absent shared across replicas.</w:t>
      </w:r>
    </w:p>
    <w:p>
      <w:pPr>
        <w:pStyle w:val="Heading5"/>
      </w:pPr>
      <w:r>
        <w:t xml:space="preserve">Vulnerability</w:t>
      </w:r>
    </w:p>
    <w:p>
      <w:pPr>
        <w:pStyle w:val="FirstParagraph"/>
      </w:pPr>
      <w:r>
        <w:t xml:space="preserve">If the same payload reaches</w:t>
      </w:r>
      <w:r>
        <w:t xml:space="preserve"> </w:t>
      </w:r>
      <w:r>
        <w:rPr>
          <w:rStyle w:val="VerbatimChar"/>
        </w:rPr>
        <w:t xml:space="preserve">/settle</w:t>
      </w:r>
      <w:r>
        <w:t xml:space="preserve"> </w:t>
      </w:r>
      <w:r>
        <w:t xml:space="preserve">concurrently, both executions can pass rule 7 (the</w:t>
      </w:r>
      <w:r>
        <w:t xml:space="preserve"> </w:t>
      </w:r>
      <w:r>
        <w:t xml:space="preserve">transfer is genuinely on chain) before either records the hash, and one payment buys twice.</w:t>
      </w:r>
      <w:r>
        <w:t xml:space="preserve"> </w:t>
      </w:r>
      <w:r>
        <w:t xml:space="preserve">This is the same race the SVM and NEAR schemes document; on MOI the window is the gap between</w:t>
      </w:r>
      <w:r>
        <w:t xml:space="preserve"> </w:t>
      </w:r>
      <w:r>
        <w:t xml:space="preserve">the chain read and the spent-store write.</w:t>
      </w:r>
    </w:p>
    <w:p>
      <w:pPr>
        <w:pStyle w:val="Heading5"/>
      </w:pPr>
      <w:r>
        <w:t xml:space="preserve">Recommended Mitigation</w:t>
      </w:r>
    </w:p>
    <w:p>
      <w:pPr>
        <w:pStyle w:val="FirstParagraph"/>
      </w:pPr>
      <w:r>
        <w:t xml:space="preserve">The spent-store write MUST be atomic check-and-set (insert-if-absent) rather than separate</w:t>
      </w:r>
      <w:r>
        <w:t xml:space="preserve"> </w:t>
      </w:r>
      <w:r>
        <w:t xml:space="preserve">has/add steps, and SHOULD be shared across facilitator replicas. Sellers SHOULD treat the</w:t>
      </w:r>
      <w:r>
        <w:t xml:space="preserve"> </w:t>
      </w:r>
      <w:r>
        <w:rPr>
          <w:rStyle w:val="VerbatimChar"/>
        </w:rPr>
        <w:t xml:space="preserve">resource</w:t>
      </w:r>
      <w:r>
        <w:t xml:space="preserve"> </w:t>
      </w:r>
      <w:r>
        <w:t xml:space="preserve">binding as a second key: one</w:t>
      </w:r>
      <w:r>
        <w:t xml:space="preserve"> </w:t>
      </w:r>
      <w:r>
        <w:rPr>
          <w:rStyle w:val="VerbatimChar"/>
        </w:rPr>
        <w:t xml:space="preserve">(txHash)</w:t>
      </w:r>
      <w:r>
        <w:t xml:space="preserve"> </w:t>
      </w:r>
      <w:r>
        <w:t xml:space="preserve">marks the payment spent, and the claim’s</w:t>
      </w:r>
      <w:r>
        <w:t xml:space="preserve"> </w:t>
      </w:r>
      <w:r>
        <w:rPr>
          <w:rStyle w:val="VerbatimChar"/>
        </w:rPr>
        <w:t xml:space="preserve">resource</w:t>
      </w:r>
      <w:r>
        <w:t xml:space="preserve"> </w:t>
      </w:r>
      <w:r>
        <w:t xml:space="preserve">confines what it could ever have bought.</w:t>
      </w:r>
    </w:p>
    <w:p>
      <w:pPr>
        <w:pStyle w:val="Heading4"/>
      </w:pPr>
      <w:r>
        <w:t xml:space="preserve">Security Considerations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Four items. Overpayment is accepted (rules compare with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); clock skew narrows the window; identifiers are derived from keys, which is why the network is inside the signed claim and why a facilitator must confirm which network it is reading; the buyer’s fuel never becomes the seller’s problem.</w:t>
      </w:r>
    </w:p>
    <w:p>
      <w:pPr>
        <w:pStyle w:val="FirstParagraph"/>
      </w:pPr>
      <w:r>
        <w:rPr>
          <w:b/>
          <w:bCs/>
        </w:rPr>
        <w:t xml:space="preserve">Overpayment is accepted.</w:t>
      </w:r>
      <w:r>
        <w:t xml:space="preserve"> </w:t>
      </w:r>
      <w:r>
        <w:t xml:space="preserve">Rules 4 and 7 compare with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, so a buyer that sends more than the</w:t>
      </w:r>
      <w:r>
        <w:t xml:space="preserve"> </w:t>
      </w:r>
      <w:r>
        <w:t xml:space="preserve">quoted amount still settles. Underpayment is rejected. Sellers wanting exact-amount semantics</w:t>
      </w:r>
      <w:r>
        <w:t xml:space="preserve"> </w:t>
      </w:r>
      <w:r>
        <w:t xml:space="preserve">MUST compare for equality instead.</w:t>
      </w:r>
    </w:p>
    <w:p>
      <w:pPr>
        <w:pStyle w:val="BodyText"/>
      </w:pPr>
      <w:r>
        <w:rPr>
          <w:b/>
          <w:bCs/>
        </w:rPr>
        <w:t xml:space="preserve">Clock skew narrows the window.</w:t>
      </w:r>
      <w:r>
        <w:t xml:space="preserve"> </w:t>
      </w:r>
      <w:r>
        <w:rPr>
          <w:rStyle w:val="VerbatimChar"/>
        </w:rPr>
        <w:t xml:space="preserve">validAfter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validBefore</w:t>
      </w:r>
      <w:r>
        <w:t xml:space="preserve"> </w:t>
      </w:r>
      <w:r>
        <w:t xml:space="preserve">are the buyer’s own timestamps.</w:t>
      </w:r>
      <w:r>
        <w:t xml:space="preserve"> </w:t>
      </w:r>
      <w:r>
        <w:t xml:space="preserve">Skew between buyer and facilitator shortens the usable window and can reject an otherwise valid</w:t>
      </w:r>
      <w:r>
        <w:t xml:space="preserve"> </w:t>
      </w:r>
      <w:r>
        <w:t xml:space="preserve">claim; sellers SHOULD quote</w:t>
      </w:r>
      <w:r>
        <w:t xml:space="preserve"> </w:t>
      </w:r>
      <w:r>
        <w:rPr>
          <w:rStyle w:val="VerbatimChar"/>
        </w:rPr>
        <w:t xml:space="preserve">maxTimeoutSeconds</w:t>
      </w:r>
      <w:r>
        <w:t xml:space="preserve"> </w:t>
      </w:r>
      <w:r>
        <w:t xml:space="preserve">with that margin in mind. A later version MAY</w:t>
      </w:r>
      <w:r>
        <w:t xml:space="preserve"> </w:t>
      </w:r>
      <w:r>
        <w:t xml:space="preserve">anchor freshness to the transfer’s tesseract timestamp instead of the buyer’s clock.</w:t>
      </w:r>
    </w:p>
    <w:p>
      <w:pPr>
        <w:pStyle w:val="BodyText"/>
      </w:pPr>
      <w:r>
        <w:rPr>
          <w:b/>
          <w:bCs/>
        </w:rPr>
        <w:t xml:space="preserve">Identifiers are derived, not allocated.</w:t>
      </w:r>
      <w:r>
        <w:t xml:space="preserve"> </w:t>
      </w:r>
      <w:r>
        <w:t xml:space="preserve">A participant identifier contains a 24-byte slice of</w:t>
      </w:r>
      <w:r>
        <w:t xml:space="preserve"> </w:t>
      </w:r>
      <w:r>
        <w:t xml:space="preserve">the account’s compressed public key. Rule 3 relies on that derivation: producing a key that</w:t>
      </w:r>
      <w:r>
        <w:t xml:space="preserve"> </w:t>
      </w:r>
      <w:r>
        <w:t xml:space="preserve">derives to a chosen account means grinding keypairs against 24 fixed bytes, which is</w:t>
      </w:r>
      <w:r>
        <w:t xml:space="preserve"> </w:t>
      </w:r>
      <w:r>
        <w:t xml:space="preserve">computationally infeasible. It also means the same identifier exists on every MOI network, so a</w:t>
      </w:r>
      <w:r>
        <w:t xml:space="preserve"> </w:t>
      </w:r>
      <w:r>
        <w:t xml:space="preserve">facilitator MUST confirm it is reading the network named in</w:t>
      </w:r>
      <w:r>
        <w:t xml:space="preserve"> </w:t>
      </w:r>
      <w:r>
        <w:rPr>
          <w:rStyle w:val="VerbatimChar"/>
        </w:rPr>
        <w:t xml:space="preserve">requirements.network</w:t>
      </w:r>
      <w:r>
        <w:t xml:space="preserve"> </w:t>
      </w:r>
      <w:r>
        <w:t xml:space="preserve">and MUST NOT</w:t>
      </w:r>
      <w:r>
        <w:t xml:space="preserve"> </w:t>
      </w:r>
      <w:r>
        <w:t xml:space="preserve">infer the network from an endpoint URL. The claim carries</w:t>
      </w:r>
      <w:r>
        <w:t xml:space="preserve"> </w:t>
      </w:r>
      <w:r>
        <w:rPr>
          <w:rStyle w:val="VerbatimChar"/>
        </w:rPr>
        <w:t xml:space="preserve">network</w:t>
      </w:r>
      <w:r>
        <w:t xml:space="preserve"> </w:t>
      </w:r>
      <w:r>
        <w:t xml:space="preserve">in its signed bytes for the</w:t>
      </w:r>
      <w:r>
        <w:t xml:space="preserve"> </w:t>
      </w:r>
      <w:r>
        <w:t xml:space="preserve">same reason: the buyer commits to the network, and rule 4 checks it.</w:t>
      </w:r>
    </w:p>
    <w:p>
      <w:pPr>
        <w:pStyle w:val="BodyText"/>
      </w:pPr>
      <w:r>
        <w:rPr>
          <w:b/>
          <w:bCs/>
        </w:rPr>
        <w:t xml:space="preserve">The buyer’s fuel is not the seller’s concern.</w:t>
      </w:r>
      <w:r>
        <w:t xml:space="preserve"> </w:t>
      </w:r>
      <w:r>
        <w:t xml:space="preserve">A buyer with insufficient fuel fails before</w:t>
      </w:r>
      <w:r>
        <w:t xml:space="preserve"> </w:t>
      </w:r>
      <w:r>
        <w:t xml:space="preserve">settlement and never produces a claim; the seller sees no request.</w:t>
      </w:r>
    </w:p>
    <w:p>
      <w:pPr>
        <w:pStyle w:val="Heading4"/>
      </w:pPr>
      <w:r>
        <w:t xml:space="preserve">Appendix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Describes only wire-visible behaviour because the node and VM repositories are private. Every claim here was checked against go-moi source and the live devnet (see PR 3</w:t>
      </w:r>
      <w:r>
        <w:t xml:space="preserve"> </w:t>
      </w:r>
      <w:r>
        <w:rPr>
          <w:rStyle w:val="VerbatimChar"/>
        </w:rPr>
        <w:t xml:space="preserve">STATUS.md</w:t>
      </w:r>
      <w:r>
        <w:t xml:space="preserve">): the identifier layout, the two field names that differ between the signing schema and the RPC response, and</w:t>
      </w:r>
      <w:r>
        <w:t xml:space="preserve"> </w:t>
      </w:r>
      <w:r>
        <w:rPr>
          <w:rStyle w:val="VerbatimChar"/>
        </w:rPr>
        <w:t xml:space="preserve">fee_payer</w:t>
      </w:r>
      <w:r>
        <w:t xml:space="preserve"> </w:t>
      </w:r>
      <w:r>
        <w:t xml:space="preserve">versus the pre-0.13.0</w:t>
      </w:r>
      <w:r>
        <w:t xml:space="preserve"> </w:t>
      </w:r>
      <w:r>
        <w:rPr>
          <w:rStyle w:val="VerbatimChar"/>
        </w:rPr>
        <w:t xml:space="preserve">payer</w:t>
      </w:r>
      <w:r>
        <w:t xml:space="preserve">.</w:t>
      </w:r>
    </w:p>
    <w:p>
      <w:pPr>
        <w:pStyle w:val="Heading5"/>
      </w:pPr>
      <w:r>
        <w:t xml:space="preserve">MOI in brief</w:t>
      </w:r>
    </w:p>
    <w:p>
      <w:pPr>
        <w:pStyle w:val="FirstParagraph"/>
      </w:pPr>
      <w:r>
        <w:t xml:space="preserve">MOI is an account-centric protocol. Each participant account holds its own state and its own</w:t>
      </w:r>
      <w:r>
        <w:t xml:space="preserve"> </w:t>
      </w:r>
      <w:r>
        <w:t xml:space="preserve">ordered sequence of tesseracts; there is no single global chain of blocks. Fungible assets are</w:t>
      </w:r>
      <w:r>
        <w:t xml:space="preserve"> </w:t>
      </w:r>
      <w:r>
        <w:t xml:space="preserve">protocol-native (the MAS0 standard, and MASN for the KMOI token) rather than contract-deployed,</w:t>
      </w:r>
      <w:r>
        <w:t xml:space="preserve"> </w:t>
      </w:r>
      <w:r>
        <w:t xml:space="preserve">and interactions — the signed unit of state change — are signed by the sending account with</w:t>
      </w:r>
      <w:r>
        <w:t xml:space="preserve"> </w:t>
      </w:r>
      <w:r>
        <w:t xml:space="preserve">ECDSA over secp256k1. Because the buyer can submit its own transfer directly, this scheme</w:t>
      </w:r>
      <w:r>
        <w:t xml:space="preserve"> </w:t>
      </w:r>
      <w:r>
        <w:t xml:space="preserve">settles first and proves second.</w:t>
      </w:r>
    </w:p>
    <w:p>
      <w:pPr>
        <w:pStyle w:val="Heading5"/>
      </w:pPr>
      <w:r>
        <w:t xml:space="preserve">Interaction and receipt anatomy</w:t>
      </w:r>
    </w:p>
    <w:p>
      <w:pPr>
        <w:pStyle w:val="FirstParagraph"/>
      </w:pPr>
      <w:r>
        <w:t xml:space="preserve">As observable through the JSON-RPC surface and the reference client (js-moi-sdk). The node and</w:t>
      </w:r>
      <w:r>
        <w:t xml:space="preserve"> </w:t>
      </w:r>
      <w:r>
        <w:t xml:space="preserve">VM implementations are not public, so this spec describes only wire-visible behavior.</w:t>
      </w:r>
    </w:p>
    <w:p>
      <w:pPr>
        <w:pStyle w:val="BodyText"/>
      </w:pPr>
      <w:r>
        <w:t xml:space="preserve">An interaction envelope contains:</w:t>
      </w:r>
      <w:r>
        <w:t xml:space="preserve"> </w:t>
      </w:r>
      <w:r>
        <w:rPr>
          <w:rStyle w:val="VerbatimChar"/>
        </w:rPr>
        <w:t xml:space="preserve">sender { id, sequence, key_id }</w:t>
      </w:r>
      <w:r>
        <w:t xml:space="preserve">, an optional</w:t>
      </w:r>
      <w:r>
        <w:t xml:space="preserve"> </w:t>
      </w:r>
      <w:r>
        <w:rPr>
          <w:rStyle w:val="VerbatimChar"/>
        </w:rPr>
        <w:t xml:space="preserve">fee_payer</w:t>
      </w:r>
      <w:r>
        <w:t xml:space="preserve"> </w:t>
      </w:r>
      <w:r>
        <w:t xml:space="preserve">(named</w:t>
      </w:r>
      <w:r>
        <w:t xml:space="preserve"> </w:t>
      </w:r>
      <w:r>
        <w:rPr>
          <w:rStyle w:val="VerbatimChar"/>
        </w:rPr>
        <w:t xml:space="preserve">payer</w:t>
      </w:r>
      <w:r>
        <w:t xml:space="preserve"> </w:t>
      </w:r>
      <w:r>
        <w:t xml:space="preserve">before moipod v0.13.0; when set, that account co-signs and pays the fuel),</w:t>
      </w:r>
      <w:r>
        <w:t xml:space="preserve"> </w:t>
      </w:r>
      <w:r>
        <w:rPr>
          <w:rStyle w:val="VerbatimChar"/>
        </w:rPr>
        <w:t xml:space="preserve">fuel_price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fuel_limit</w:t>
      </w:r>
      <w:r>
        <w:t xml:space="preserve">, a</w:t>
      </w:r>
      <w:r>
        <w:t xml:space="preserve"> </w:t>
      </w:r>
      <w:r>
        <w:rPr>
          <w:rStyle w:val="VerbatimChar"/>
        </w:rPr>
        <w:t xml:space="preserve">funds</w:t>
      </w:r>
      <w:r>
        <w:t xml:space="preserve"> </w:t>
      </w:r>
      <w:r>
        <w:t xml:space="preserve">list,</w:t>
      </w:r>
      <w:r>
        <w:t xml:space="preserve"> </w:t>
      </w:r>
      <w:r>
        <w:rPr>
          <w:rStyle w:val="VerbatimChar"/>
        </w:rPr>
        <w:t xml:space="preserve">ix_operations</w:t>
      </w:r>
      <w:r>
        <w:t xml:space="preserve"> </w:t>
      </w:r>
      <w:r>
        <w:t xml:space="preserve">(each</w:t>
      </w:r>
      <w:r>
        <w:t xml:space="preserve"> </w:t>
      </w:r>
      <w:r>
        <w:rPr>
          <w:rStyle w:val="VerbatimChar"/>
        </w:rPr>
        <w:t xml:space="preserve">{ type, payload }</w:t>
      </w:r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participants</w:t>
      </w:r>
      <w:r>
        <w:t xml:space="preserve"> </w:t>
      </w:r>
      <w:r>
        <w:t xml:space="preserve">list (account id, lock type and a notary flag — a scheduling and co-signing</w:t>
      </w:r>
      <w:r>
        <w:t xml:space="preserve"> </w:t>
      </w:r>
      <w:r>
        <w:t xml:space="preserve">declaration, not a permission), and consensus preferences. The whole envelope is POLO-encoded and signed with ECDSA over</w:t>
      </w:r>
      <w:r>
        <w:t xml:space="preserve"> </w:t>
      </w:r>
      <w:r>
        <w:t xml:space="preserve">secp256k1;</w:t>
      </w:r>
      <w:r>
        <w:t xml:space="preserve"> </w:t>
      </w:r>
      <w:r>
        <w:rPr>
          <w:rStyle w:val="VerbatimChar"/>
        </w:rPr>
        <w:t xml:space="preserve">sender.key_id</w:t>
      </w:r>
      <w:r>
        <w:t xml:space="preserve"> </w:t>
      </w:r>
      <w:r>
        <w:t xml:space="preserve">selects which of the account’s keys signed.</w:t>
      </w:r>
    </w:p>
    <w:p>
      <w:pPr>
        <w:pStyle w:val="BodyText"/>
      </w:pPr>
      <w:r>
        <w:t xml:space="preserve">A participant identifier is 32 bytes: a tag byte, a flags byte, two standard bytes (zero for a</w:t>
      </w:r>
      <w:r>
        <w:t xml:space="preserve"> </w:t>
      </w:r>
      <w:r>
        <w:t xml:space="preserve">participant), a 24-byte fingerprint sliced directly from the account’s compressed public key</w:t>
      </w:r>
      <w:r>
        <w:t xml:space="preserve"> </w:t>
      </w:r>
      <w:r>
        <w:t xml:space="preserve">(the 24 bytes after its parity byte), and a 4-byte variant carrying the sub-account index. It</w:t>
      </w:r>
      <w:r>
        <w:t xml:space="preserve"> </w:t>
      </w:r>
      <w:r>
        <w:t xml:space="preserve">derives from the key, not from a network, so the same identifier can exist on every MOI network</w:t>
      </w:r>
      <w:r>
        <w:t xml:space="preserve"> </w:t>
      </w:r>
      <w:r>
        <w:t xml:space="preserve">— one reason explicit network identification matters for this scheme.</w:t>
      </w:r>
    </w:p>
    <w:p>
      <w:pPr>
        <w:pStyle w:val="BodyText"/>
      </w:pPr>
      <w:r>
        <w:t xml:space="preserve">A receipt contains</w:t>
      </w:r>
      <w:r>
        <w:t xml:space="preserve"> </w:t>
      </w:r>
      <w:r>
        <w:rPr>
          <w:rStyle w:val="VerbatimChar"/>
        </w:rPr>
        <w:t xml:space="preserve">ix_hash</w:t>
      </w:r>
      <w:r>
        <w:t xml:space="preserve">, an interaction-level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fuel_used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from</w:t>
      </w:r>
      <w:r>
        <w:t xml:space="preserve">, and</w:t>
      </w:r>
      <w:r>
        <w:t xml:space="preserve"> </w:t>
      </w:r>
      <w:r>
        <w:t xml:space="preserve">per-operation results (</w:t>
      </w:r>
      <w:r>
        <w:rPr>
          <w:rStyle w:val="VerbatimChar"/>
        </w:rPr>
        <w:t xml:space="preserve">{ tx_type, status, data { outputs, error } }</w:t>
      </w:r>
      <w:r>
        <w:t xml:space="preserve">). Interaction-level status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is success;</w:t>
      </w:r>
      <w:r>
        <w:t xml:space="preserve"> </w:t>
      </w:r>
      <w:r>
        <w:rPr>
          <w:rStyle w:val="VerbatimChar"/>
        </w:rPr>
        <w:t xml:space="preserve">tx_type</w:t>
      </w:r>
      <w:r>
        <w:t xml:space="preserve"> </w:t>
      </w:r>
      <w:r>
        <w:t xml:space="preserve">comes back as a hex string rather than a number.</w:t>
      </w:r>
    </w:p>
    <w:p>
      <w:pPr>
        <w:pStyle w:val="BodyText"/>
      </w:pPr>
      <w:r>
        <w:t xml:space="preserve">Two names differ between the signing schema and the RPC response for the same field: the envelope</w:t>
      </w:r>
      <w:r>
        <w:t xml:space="preserve"> </w:t>
      </w:r>
      <w:r>
        <w:t xml:space="preserve">is signed with</w:t>
      </w:r>
      <w:r>
        <w:t xml:space="preserve"> </w:t>
      </w:r>
      <w:r>
        <w:rPr>
          <w:rStyle w:val="VerbatimChar"/>
        </w:rPr>
        <w:t xml:space="preserve">sender.sequence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participants</w:t>
      </w:r>
      <w:r>
        <w:t xml:space="preserve"> </w:t>
      </w:r>
      <w:r>
        <w:t xml:space="preserve">list, and</w:t>
      </w:r>
      <w:r>
        <w:t xml:space="preserve"> </w:t>
      </w:r>
      <w:r>
        <w:rPr>
          <w:rStyle w:val="VerbatimChar"/>
        </w:rPr>
        <w:t xml:space="preserve">moi.InteractionByHash</w:t>
      </w:r>
      <w:r>
        <w:t xml:space="preserve"> </w:t>
      </w:r>
      <w:r>
        <w:t xml:space="preserve">returns</w:t>
      </w:r>
      <w:r>
        <w:t xml:space="preserve"> </w:t>
      </w:r>
      <w:r>
        <w:t xml:space="preserve">them as</w:t>
      </w:r>
      <w:r>
        <w:t xml:space="preserve"> </w:t>
      </w:r>
      <w:r>
        <w:rPr>
          <w:rStyle w:val="VerbatimChar"/>
        </w:rPr>
        <w:t xml:space="preserve">sender.sequence_id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ix_participants</w:t>
      </w:r>
      <w:r>
        <w:t xml:space="preserve">. Implementations reading settled interactions</w:t>
      </w:r>
      <w:r>
        <w:t xml:space="preserve"> </w:t>
      </w:r>
      <w:r>
        <w:t xml:space="preserve">MUST use the RPC spelling.</w:t>
      </w:r>
    </w:p>
    <w:p>
      <w:pPr>
        <w:pStyle w:val="BodyText"/>
      </w:pPr>
      <w:r>
        <w:t xml:space="preserve">Native assets carry no on-chain decimals or symbol; all amounts in this scheme are atomic units,</w:t>
      </w:r>
      <w:r>
        <w:t xml:space="preserve"> </w:t>
      </w:r>
      <w:r>
        <w:t xml:space="preserve">and no</w:t>
      </w:r>
      <w:r>
        <w:t xml:space="preserve"> </w:t>
      </w:r>
      <w:r>
        <w:rPr>
          <w:rStyle w:val="VerbatimChar"/>
        </w:rPr>
        <w:t xml:space="preserve">"$0.10"</w:t>
      </w:r>
      <w:r>
        <w:t xml:space="preserve">-style pricing is defined for MOI.</w:t>
      </w:r>
    </w:p>
    <w:p>
      <w:pPr>
        <w:pStyle w:val="Heading5"/>
      </w:pPr>
      <w:r>
        <w:t xml:space="preserve">POLO</w:t>
      </w:r>
    </w:p>
    <w:p>
      <w:pPr>
        <w:pStyle w:val="FirstParagraph"/>
      </w:pPr>
      <w:r>
        <w:t xml:space="preserve">POLO (Prefix Ordered Lookup Offsets) is MOI’s deterministic serialization format, specified at</w:t>
      </w:r>
      <w:r>
        <w:t xml:space="preserve"> </w:t>
      </w:r>
      <w:r>
        <w:t xml:space="preserve">github.com/sarvalabs/polo with public Go and JavaScript implementations. Both the interaction</w:t>
      </w:r>
      <w:r>
        <w:t xml:space="preserve"> </w:t>
      </w:r>
      <w:r>
        <w:t xml:space="preserve">envelope and asset calldata are POLO-encoded.</w:t>
      </w:r>
    </w:p>
    <w:p>
      <w:pPr>
        <w:pStyle w:val="Heading5"/>
      </w:pPr>
      <w:r>
        <w:t xml:space="preserve">References</w:t>
      </w:r>
    </w:p>
    <w:p>
      <w:pPr>
        <w:pStyle w:val="Compact"/>
        <w:numPr>
          <w:ilvl w:val="0"/>
          <w:numId w:val="1015"/>
        </w:numPr>
      </w:pPr>
      <w:r>
        <w:t xml:space="preserve">MOI protocol: https://moi.technology · docs: https://docs.moi.technology</w:t>
      </w:r>
    </w:p>
    <w:p>
      <w:pPr>
        <w:pStyle w:val="Compact"/>
        <w:numPr>
          <w:ilvl w:val="0"/>
          <w:numId w:val="1015"/>
        </w:numPr>
      </w:pPr>
      <w:r>
        <w:t xml:space="preserve">js-moi-sdk (reference client): https://www.npmjs.com/package/js-moi-sdk</w:t>
      </w:r>
    </w:p>
    <w:p>
      <w:pPr>
        <w:pStyle w:val="Compact"/>
        <w:numPr>
          <w:ilvl w:val="0"/>
          <w:numId w:val="1015"/>
        </w:numPr>
      </w:pPr>
      <w:r>
        <w:t xml:space="preserve">POLO serialization: https://github.com/sarvalabs/polo (js-polo, go-polo)</w:t>
      </w:r>
    </w:p>
    <w:p>
      <w:pPr>
        <w:pStyle w:val="Compact"/>
        <w:numPr>
          <w:ilvl w:val="0"/>
          <w:numId w:val="1015"/>
        </w:numPr>
      </w:pPr>
      <w:r>
        <w:t xml:space="preserve">MOI CAIP-2 namespace (in progress): ChainAgnostic/namespaces</w:t>
      </w:r>
      <w:r>
        <w:t xml:space="preserve"> </w:t>
      </w:r>
      <w:r>
        <w:rPr>
          <w:rStyle w:val="VerbatimChar"/>
        </w:rPr>
        <w:t xml:space="preserve">moi/</w:t>
      </w:r>
    </w:p>
    <w:p>
      <w:pPr>
        <w:pStyle w:val="Compact"/>
        <w:numPr>
          <w:ilvl w:val="0"/>
          <w:numId w:val="1015"/>
        </w:numPr>
      </w:pPr>
      <w:r>
        <w:t xml:space="preserve">x402 v2 specification, section 6.1 (payment flow models)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="Calibri" w:eastAsia="Calibri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="Calibri" w:eastAsia="Calibri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cs="Calibri" w:eastAsia="Calibri" w:hAnsi="Calibr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Calibri" w:cs="Calibri" w:eastAsia="Calibri" w:hAnsi="Calibri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="Calibri" w:eastAsia="Calibri" w:hAnsi="Calibri"/>
      <w:color w:val="000000"/>
      <w:sz w:val="40"/>
      <w:szCs w:val="40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="Calibri" w:eastAsia="Calibri" w:hAnsi="Calibri"/>
      <w:color w:val="000000"/>
      <w:sz w:val="32"/>
      <w:szCs w:val="32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="Calibri" w:eastAsia="Calibri" w:hAnsi="Calibri"/>
      <w:color w:val="000000"/>
      <w:sz w:val="28"/>
      <w:szCs w:val="28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="Calibri" w:eastAsia="Calibri" w:hAnsi="Calibri"/>
      <w:i/>
      <w:iCs/>
      <w:color w:val="000000"/>
      <w:b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Calibri" w:cs="Calibri" w:eastAsia="Calibri" w:hAnsi="Calibri"/>
      <w:color w:val="000000"/>
      <w:b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" w:cs="Calibri" w:eastAsia="Calibri" w:hAnsi="Calibri"/>
      <w:i/>
      <w:iCs/>
      <w:color w:val="000000"/>
      <w:b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Calibri" w:cs="Calibri" w:eastAsia="Calibri" w:hAnsi="Calibr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Calibri" w:cs="Calibri" w:eastAsia="Calibri" w:hAnsi="Calibr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Calibri" w:cs="Calibri" w:eastAsia="Calibri" w:hAnsi="Calibr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="Calibri" w:eastAsia="Calibri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="Calibri" w:eastAsia="Calibri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Calibri" w:cs="Calibri" w:eastAsia="Calibri" w:hAnsi="Calibr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Calibri" w:cs="Calibri" w:eastAsia="Calibri" w:hAnsi="Calibr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Calibri" w:cs="Calibri" w:eastAsia="Calibri" w:hAnsi="Calibr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Calibri" w:cs="Calibri" w:eastAsia="Calibri" w:hAnsi="Calibr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Calibri" w:cs="Calibri" w:eastAsia="Calibri" w:hAnsi="Calibr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Calibri" w:cs="Calibri" w:eastAsia="Calibri" w:hAnsi="Calibr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Calibri" w:cs="Calibri" w:eastAsia="Calibri" w:hAnsi="Calibr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namespaces.chainagnostic.org/moi/caip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namespaces.chainagnostic.org/moi/caip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2026-09-10T16:11:21Z</dcterms:created>
  <dcterms:modified xsi:type="dcterms:W3CDTF">2026-09-10T16:11:21Z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