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6A824" w14:textId="77777777" w:rsidR="00695F02" w:rsidRDefault="00000000" w:rsidP="00425A1A">
      <w:pPr>
        <w:pStyle w:val="Heading1"/>
        <w:keepNext w:val="0"/>
        <w:keepLines w:val="0"/>
        <w:spacing w:before="480"/>
        <w:ind w:left="2160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02FD4A4B" w14:textId="77777777" w:rsidR="00695F0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A17D139" w14:textId="77777777" w:rsidR="00695F02" w:rsidRDefault="00695F0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95F02" w14:paraId="013C1576" w14:textId="77777777">
        <w:tc>
          <w:tcPr>
            <w:tcW w:w="4508" w:type="dxa"/>
          </w:tcPr>
          <w:p w14:paraId="0EC25779" w14:textId="77777777" w:rsidR="00695F0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0A26651" w14:textId="69FD2321" w:rsidR="00695F02" w:rsidRDefault="00425A1A">
            <w:pPr>
              <w:rPr>
                <w:rFonts w:ascii="Calibri" w:eastAsia="Calibri" w:hAnsi="Calibri" w:cs="Calibri"/>
              </w:rPr>
            </w:pPr>
            <w:r w:rsidRPr="00425A1A">
              <w:rPr>
                <w:rFonts w:ascii="Calibri" w:eastAsia="Calibri" w:hAnsi="Calibri" w:cs="Calibri"/>
              </w:rPr>
              <w:t>1 July 2026</w:t>
            </w:r>
          </w:p>
        </w:tc>
      </w:tr>
      <w:tr w:rsidR="00695F02" w14:paraId="7EBD3B1D" w14:textId="77777777">
        <w:tc>
          <w:tcPr>
            <w:tcW w:w="4508" w:type="dxa"/>
          </w:tcPr>
          <w:p w14:paraId="790FEFC9" w14:textId="77777777" w:rsidR="00695F0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36EDA65" w14:textId="62968B11" w:rsidR="00695F02" w:rsidRDefault="00695F02">
            <w:pPr>
              <w:rPr>
                <w:rFonts w:ascii="Calibri" w:eastAsia="Calibri" w:hAnsi="Calibri" w:cs="Calibri"/>
              </w:rPr>
            </w:pPr>
          </w:p>
        </w:tc>
      </w:tr>
      <w:tr w:rsidR="00695F02" w14:paraId="6EAF5014" w14:textId="77777777">
        <w:tc>
          <w:tcPr>
            <w:tcW w:w="4508" w:type="dxa"/>
          </w:tcPr>
          <w:p w14:paraId="3C91D36D" w14:textId="77777777" w:rsidR="00695F0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168DB3B" w14:textId="2CF041CF" w:rsidR="00695F0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- </w:t>
            </w:r>
            <w:r w:rsidR="00425A1A" w:rsidRPr="00425A1A">
              <w:rPr>
                <w:rFonts w:ascii="Calibri" w:eastAsia="Calibri" w:hAnsi="Calibri" w:cs="Calibri"/>
              </w:rPr>
              <w:t>A-Comprehensive-Measure-of-Well-Being</w:t>
            </w:r>
          </w:p>
        </w:tc>
      </w:tr>
      <w:tr w:rsidR="00695F02" w14:paraId="636B279F" w14:textId="77777777">
        <w:tc>
          <w:tcPr>
            <w:tcW w:w="4508" w:type="dxa"/>
          </w:tcPr>
          <w:p w14:paraId="56A013D0" w14:textId="77777777" w:rsidR="00695F0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624F8D7" w14:textId="77777777" w:rsidR="00695F02" w:rsidRDefault="00695F02">
            <w:pPr>
              <w:rPr>
                <w:rFonts w:ascii="Calibri" w:eastAsia="Calibri" w:hAnsi="Calibri" w:cs="Calibri"/>
              </w:rPr>
            </w:pPr>
          </w:p>
        </w:tc>
      </w:tr>
    </w:tbl>
    <w:p w14:paraId="2DF75346" w14:textId="77777777" w:rsidR="00695F02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105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9"/>
        <w:gridCol w:w="2956"/>
        <w:gridCol w:w="1909"/>
        <w:gridCol w:w="2091"/>
        <w:gridCol w:w="2116"/>
        <w:gridCol w:w="931"/>
      </w:tblGrid>
      <w:tr w:rsidR="00695F02" w:rsidRPr="00425A1A" w14:paraId="6612B989" w14:textId="77777777" w:rsidTr="00425A1A">
        <w:trPr>
          <w:trHeight w:val="43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42670B" w14:textId="77777777" w:rsidR="00695F02" w:rsidRPr="00425A1A" w:rsidRDefault="00000000">
            <w:pPr>
              <w:widowControl w:val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b/>
                <w:sz w:val="18"/>
                <w:szCs w:val="18"/>
              </w:rPr>
              <w:t>Test Case ID</w:t>
            </w:r>
          </w:p>
        </w:tc>
        <w:tc>
          <w:tcPr>
            <w:tcW w:w="295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77D6D5" w14:textId="77777777" w:rsidR="00695F02" w:rsidRPr="00425A1A" w:rsidRDefault="00000000">
            <w:pPr>
              <w:widowControl w:val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b/>
                <w:sz w:val="18"/>
                <w:szCs w:val="18"/>
              </w:rPr>
              <w:t>Scenario (What to test)</w:t>
            </w:r>
          </w:p>
        </w:tc>
        <w:tc>
          <w:tcPr>
            <w:tcW w:w="19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7967F2" w14:textId="77777777" w:rsidR="00695F02" w:rsidRPr="00425A1A" w:rsidRDefault="00000000">
            <w:pPr>
              <w:widowControl w:val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b/>
                <w:sz w:val="18"/>
                <w:szCs w:val="18"/>
              </w:rPr>
              <w:t>Test Steps (How to test)</w:t>
            </w:r>
          </w:p>
        </w:tc>
        <w:tc>
          <w:tcPr>
            <w:tcW w:w="209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957C18" w14:textId="77777777" w:rsidR="00695F02" w:rsidRPr="00425A1A" w:rsidRDefault="00000000">
            <w:pPr>
              <w:widowControl w:val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b/>
                <w:sz w:val="18"/>
                <w:szCs w:val="18"/>
              </w:rPr>
              <w:t>Expected Result</w:t>
            </w:r>
          </w:p>
        </w:tc>
        <w:tc>
          <w:tcPr>
            <w:tcW w:w="21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672A5" w14:textId="77777777" w:rsidR="00695F02" w:rsidRPr="00425A1A" w:rsidRDefault="00000000">
            <w:pPr>
              <w:widowControl w:val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b/>
                <w:sz w:val="18"/>
                <w:szCs w:val="18"/>
              </w:rPr>
              <w:t>Actual Result</w:t>
            </w:r>
          </w:p>
        </w:tc>
        <w:tc>
          <w:tcPr>
            <w:tcW w:w="93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28FA2F" w14:textId="77777777" w:rsidR="00695F02" w:rsidRPr="00425A1A" w:rsidRDefault="00000000">
            <w:pPr>
              <w:widowControl w:val="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b/>
                <w:sz w:val="18"/>
                <w:szCs w:val="18"/>
              </w:rPr>
              <w:t>Pass/Fail</w:t>
            </w:r>
          </w:p>
        </w:tc>
      </w:tr>
      <w:tr w:rsidR="00695F02" w:rsidRPr="00425A1A" w14:paraId="321008E9" w14:textId="77777777" w:rsidTr="00425A1A">
        <w:trPr>
          <w:trHeight w:val="718"/>
        </w:trPr>
        <w:tc>
          <w:tcPr>
            <w:tcW w:w="5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649C26" w14:textId="77777777" w:rsidR="00695F02" w:rsidRPr="00425A1A" w:rsidRDefault="00000000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b/>
                <w:sz w:val="18"/>
                <w:szCs w:val="18"/>
              </w:rPr>
              <w:t>FT-01</w:t>
            </w:r>
          </w:p>
        </w:tc>
        <w:tc>
          <w:tcPr>
            <w:tcW w:w="2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C766C5" w14:textId="545046E4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Data Input &amp; Field Validation (USN-1, USN-4)</w:t>
            </w:r>
          </w:p>
        </w:tc>
        <w:tc>
          <w:tcPr>
            <w:tcW w:w="19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BE9545" w14:textId="0BF7A518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Enter valid country metrics (Life Expectancy, GNI per capita) and invalid strings into the ingestion fields.</w:t>
            </w:r>
          </w:p>
        </w:tc>
        <w:tc>
          <w:tcPr>
            <w:tcW w:w="20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713BA7" w14:textId="0CEAA7E1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Valid HDI inputs are accepted; errors are shown for negative values or corrupt text formats.</w:t>
            </w:r>
          </w:p>
        </w:tc>
        <w:tc>
          <w:tcPr>
            <w:tcW w:w="21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0A495D" w14:textId="4D436619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System accepted correct geographic and numerical data while rejecting out-of-bounds metrics with validation warnings.</w:t>
            </w:r>
          </w:p>
        </w:tc>
        <w:tc>
          <w:tcPr>
            <w:tcW w:w="93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AD4A81" w14:textId="68B8BF59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Pass</w:t>
            </w:r>
          </w:p>
        </w:tc>
      </w:tr>
      <w:tr w:rsidR="00695F02" w:rsidRPr="00425A1A" w14:paraId="1A0AD82C" w14:textId="77777777" w:rsidTr="00425A1A">
        <w:trPr>
          <w:trHeight w:val="936"/>
        </w:trPr>
        <w:tc>
          <w:tcPr>
            <w:tcW w:w="5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32A884" w14:textId="77777777" w:rsidR="00695F02" w:rsidRPr="00425A1A" w:rsidRDefault="00000000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b/>
                <w:sz w:val="18"/>
                <w:szCs w:val="18"/>
              </w:rPr>
              <w:t>FT-02</w:t>
            </w:r>
          </w:p>
        </w:tc>
        <w:tc>
          <w:tcPr>
            <w:tcW w:w="2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778993" w14:textId="65DBBF64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Data Preparation &amp; Missing Values (USN-3, USN-5)</w:t>
            </w:r>
          </w:p>
        </w:tc>
        <w:tc>
          <w:tcPr>
            <w:tcW w:w="19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E59A07" w14:textId="58B5B712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Ingest an incomplete global dataset containing missing or inconsistent HDI index indicators</w:t>
            </w:r>
          </w:p>
        </w:tc>
        <w:tc>
          <w:tcPr>
            <w:tcW w:w="20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52DF47" w14:textId="73972163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System handles null rows via fallback averages and fixes structural data inconsistencies smoothly.</w:t>
            </w:r>
          </w:p>
        </w:tc>
        <w:tc>
          <w:tcPr>
            <w:tcW w:w="21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4C6D61" w14:textId="758C53EB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Null values were successfully cleaned or imputed based on region, preventing downstream rendering breaks.</w:t>
            </w:r>
          </w:p>
        </w:tc>
        <w:tc>
          <w:tcPr>
            <w:tcW w:w="93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0CD9C3" w14:textId="6D7F0D60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Pass</w:t>
            </w:r>
          </w:p>
        </w:tc>
      </w:tr>
      <w:tr w:rsidR="00695F02" w:rsidRPr="00425A1A" w14:paraId="60F35DCC" w14:textId="77777777" w:rsidTr="00425A1A">
        <w:trPr>
          <w:trHeight w:val="956"/>
        </w:trPr>
        <w:tc>
          <w:tcPr>
            <w:tcW w:w="5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13CAA8" w14:textId="77777777" w:rsidR="00695F02" w:rsidRPr="00425A1A" w:rsidRDefault="00000000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b/>
                <w:sz w:val="18"/>
                <w:szCs w:val="18"/>
              </w:rPr>
              <w:t>FT-03</w:t>
            </w:r>
          </w:p>
        </w:tc>
        <w:tc>
          <w:tcPr>
            <w:tcW w:w="2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524B1F" w14:textId="6E34BCA9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Visualization Chart Generation (USN-6 to USN-9)</w:t>
            </w:r>
          </w:p>
        </w:tc>
        <w:tc>
          <w:tcPr>
            <w:tcW w:w="19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18D806" w14:textId="7FF4A60A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Trigger the generation of the HDI Bar Chart, Pie Chart, Line Chart, and Geographic Map</w:t>
            </w:r>
          </w:p>
        </w:tc>
        <w:tc>
          <w:tcPr>
            <w:tcW w:w="20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245073" w14:textId="307F5DF6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Charts correctly render and plot historical global index variations based on the underlying dataset.</w:t>
            </w:r>
          </w:p>
        </w:tc>
        <w:tc>
          <w:tcPr>
            <w:tcW w:w="21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2EFF55" w14:textId="22C41262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All visual elements compiled accurately, properly mapping the country metrics onto the charts and regional maps.</w:t>
            </w:r>
          </w:p>
        </w:tc>
        <w:tc>
          <w:tcPr>
            <w:tcW w:w="93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061229" w14:textId="3E31120A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Pass</w:t>
            </w:r>
          </w:p>
        </w:tc>
      </w:tr>
      <w:tr w:rsidR="00695F02" w:rsidRPr="00425A1A" w14:paraId="38C53018" w14:textId="77777777" w:rsidTr="00425A1A">
        <w:trPr>
          <w:trHeight w:val="956"/>
        </w:trPr>
        <w:tc>
          <w:tcPr>
            <w:tcW w:w="5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625012" w14:textId="77777777" w:rsidR="00695F02" w:rsidRPr="00425A1A" w:rsidRDefault="00000000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b/>
                <w:sz w:val="18"/>
                <w:szCs w:val="18"/>
              </w:rPr>
              <w:t>FT-04</w:t>
            </w:r>
          </w:p>
        </w:tc>
        <w:tc>
          <w:tcPr>
            <w:tcW w:w="2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A6BC9A" w14:textId="20908E52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.</w:t>
            </w:r>
            <w:r w:rsidRPr="00425A1A">
              <w:t xml:space="preserve"> </w:t>
            </w: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IBM Watson &amp; Verification API Connection</w:t>
            </w:r>
          </w:p>
        </w:tc>
        <w:tc>
          <w:tcPr>
            <w:tcW w:w="19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9E0F61" w14:textId="23E57383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Invoke automated speech/text commands and external identity cross-referencing on user login</w:t>
            </w:r>
          </w:p>
        </w:tc>
        <w:tc>
          <w:tcPr>
            <w:tcW w:w="20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C0AEE3" w14:textId="314D29AA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APIs respond successfully, enabling secure authentication and voice controls.</w:t>
            </w:r>
          </w:p>
        </w:tc>
        <w:tc>
          <w:tcPr>
            <w:tcW w:w="21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023292" w14:textId="2E6510C4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API gateways returned successful responses, seamlessly loading user privileges and analytics access.</w:t>
            </w:r>
          </w:p>
        </w:tc>
        <w:tc>
          <w:tcPr>
            <w:tcW w:w="93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5B11C2" w14:textId="7B8DCE57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Pass</w:t>
            </w:r>
          </w:p>
        </w:tc>
      </w:tr>
      <w:tr w:rsidR="00695F02" w:rsidRPr="00425A1A" w14:paraId="231BE858" w14:textId="77777777" w:rsidTr="00425A1A">
        <w:trPr>
          <w:trHeight w:val="956"/>
        </w:trPr>
        <w:tc>
          <w:tcPr>
            <w:tcW w:w="5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D2E2C7" w14:textId="77777777" w:rsidR="00695F02" w:rsidRPr="00425A1A" w:rsidRDefault="00000000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b/>
                <w:sz w:val="18"/>
                <w:szCs w:val="18"/>
              </w:rPr>
              <w:t>PT-01</w:t>
            </w:r>
          </w:p>
        </w:tc>
        <w:tc>
          <w:tcPr>
            <w:tcW w:w="2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2F93B" w14:textId="5E754240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.</w:t>
            </w:r>
            <w:r w:rsidRPr="00425A1A">
              <w:t xml:space="preserve"> </w:t>
            </w: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Dashboard Response Time Test (USN-10)</w:t>
            </w:r>
          </w:p>
        </w:tc>
        <w:tc>
          <w:tcPr>
            <w:tcW w:w="19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303FE7" w14:textId="37ABAAAE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Measure the time taken to fully load the personalized HDI interactive dashboard</w:t>
            </w:r>
          </w:p>
        </w:tc>
        <w:tc>
          <w:tcPr>
            <w:tcW w:w="20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1030E0" w14:textId="2A63B0A9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Web/Mobile dashboards load and become interactive within 2 seconds.</w:t>
            </w:r>
          </w:p>
        </w:tc>
        <w:tc>
          <w:tcPr>
            <w:tcW w:w="21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2FBE71" w14:textId="676708E3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Global dashboard layout, filters, and primary statistics loaded completely in 1.8 seconds.</w:t>
            </w:r>
          </w:p>
        </w:tc>
        <w:tc>
          <w:tcPr>
            <w:tcW w:w="93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A9E751" w14:textId="0A31CF1A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Pass</w:t>
            </w:r>
          </w:p>
        </w:tc>
      </w:tr>
      <w:tr w:rsidR="00695F02" w:rsidRPr="00425A1A" w14:paraId="1A5C2FFB" w14:textId="77777777" w:rsidTr="00425A1A">
        <w:trPr>
          <w:trHeight w:val="956"/>
        </w:trPr>
        <w:tc>
          <w:tcPr>
            <w:tcW w:w="5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AD2A40" w14:textId="77777777" w:rsidR="00695F02" w:rsidRPr="00425A1A" w:rsidRDefault="00000000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b/>
                <w:sz w:val="18"/>
                <w:szCs w:val="18"/>
              </w:rPr>
              <w:t>PT-02</w:t>
            </w:r>
          </w:p>
        </w:tc>
        <w:tc>
          <w:tcPr>
            <w:tcW w:w="2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3A8829" w14:textId="196E4941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Concurrent API Load Speed Test</w:t>
            </w:r>
          </w:p>
        </w:tc>
        <w:tc>
          <w:tcPr>
            <w:tcW w:w="19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863521" w14:textId="00EB86BB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Send multiple parallel API evaluation requests to the HDI calculation backend engine.</w:t>
            </w:r>
          </w:p>
        </w:tc>
        <w:tc>
          <w:tcPr>
            <w:tcW w:w="20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B12D16" w14:textId="64BFFDC8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System handles multiple request cycles concurrently without calculating wrong scores or slowing down.</w:t>
            </w:r>
          </w:p>
        </w:tc>
        <w:tc>
          <w:tcPr>
            <w:tcW w:w="21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1B6B0D" w14:textId="4E569B62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The backend maintained standard processing velocity under simulated concurrent user traffic</w:t>
            </w:r>
          </w:p>
        </w:tc>
        <w:tc>
          <w:tcPr>
            <w:tcW w:w="93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E6A531" w14:textId="33E2D6B6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Pass</w:t>
            </w:r>
          </w:p>
        </w:tc>
      </w:tr>
      <w:tr w:rsidR="00695F02" w:rsidRPr="00425A1A" w14:paraId="3915DD3F" w14:textId="77777777" w:rsidTr="00425A1A">
        <w:trPr>
          <w:trHeight w:val="956"/>
        </w:trPr>
        <w:tc>
          <w:tcPr>
            <w:tcW w:w="5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A9683A" w14:textId="77777777" w:rsidR="00695F02" w:rsidRPr="00425A1A" w:rsidRDefault="00000000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b/>
                <w:sz w:val="18"/>
                <w:szCs w:val="18"/>
              </w:rPr>
              <w:lastRenderedPageBreak/>
              <w:t>PT-03</w:t>
            </w:r>
          </w:p>
        </w:tc>
        <w:tc>
          <w:tcPr>
            <w:tcW w:w="2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10742D" w14:textId="507D0DDD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Heavy Ingestion File Upload Test</w:t>
            </w:r>
          </w:p>
        </w:tc>
        <w:tc>
          <w:tcPr>
            <w:tcW w:w="19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45CCE5" w14:textId="449CF6D6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Upload a massive batch of global country historical records (multi-page CSVs/PDFs) to cloud storage.</w:t>
            </w:r>
          </w:p>
        </w:tc>
        <w:tc>
          <w:tcPr>
            <w:tcW w:w="209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D25245" w14:textId="5D9F8022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The system processes large-scale data ingestion batches sequentially without memory crashes.</w:t>
            </w:r>
          </w:p>
        </w:tc>
        <w:tc>
          <w:tcPr>
            <w:tcW w:w="211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AAFC2D" w14:textId="37814781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The file parsing pipeline processed the records accurately without service interruptions or memory leaks.</w:t>
            </w:r>
          </w:p>
        </w:tc>
        <w:tc>
          <w:tcPr>
            <w:tcW w:w="93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9945C1" w14:textId="2053DBC9" w:rsidR="00695F02" w:rsidRPr="00425A1A" w:rsidRDefault="00425A1A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425A1A">
              <w:rPr>
                <w:rFonts w:asciiTheme="majorHAnsi" w:hAnsiTheme="majorHAnsi" w:cstheme="majorHAnsi"/>
                <w:sz w:val="18"/>
                <w:szCs w:val="18"/>
              </w:rPr>
              <w:t>Pass</w:t>
            </w:r>
          </w:p>
        </w:tc>
      </w:tr>
    </w:tbl>
    <w:p w14:paraId="16D59574" w14:textId="77777777" w:rsidR="00695F02" w:rsidRDefault="00695F02"/>
    <w:p w14:paraId="1AD33545" w14:textId="77777777" w:rsidR="00695F02" w:rsidRDefault="00695F02"/>
    <w:sectPr w:rsidR="00695F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F02"/>
    <w:rsid w:val="00425A1A"/>
    <w:rsid w:val="00614B60"/>
    <w:rsid w:val="0069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E530B"/>
  <w15:docId w15:val="{BAC2F3B3-6DDA-427E-B471-ACF02D31D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Manasa Manu</cp:lastModifiedBy>
  <cp:revision>2</cp:revision>
  <dcterms:created xsi:type="dcterms:W3CDTF">2026-07-02T05:15:00Z</dcterms:created>
  <dcterms:modified xsi:type="dcterms:W3CDTF">2026-07-02T05:26:00Z</dcterms:modified>
</cp:coreProperties>
</file>