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09470" w14:textId="3D137B8E" w:rsidR="5C3E8486" w:rsidRDefault="174B81BB" w:rsidP="450ABE78">
      <w:pPr>
        <w:pStyle w:val="Heading2"/>
        <w:rPr>
          <w:b/>
          <w:bCs/>
        </w:rPr>
      </w:pPr>
      <w:r>
        <w:t>Results and Discussion</w:t>
      </w:r>
    </w:p>
    <w:p w14:paraId="6816B49B" w14:textId="47BCD586" w:rsidR="5C3E8486" w:rsidRDefault="5C3E8486" w:rsidP="450ABE78"/>
    <w:p w14:paraId="3FA65057" w14:textId="70782D68" w:rsidR="62ECA0C1" w:rsidRDefault="62ECA0C1" w:rsidP="450ABE78">
      <w:pPr>
        <w:pStyle w:val="ListParagraph"/>
        <w:numPr>
          <w:ilvl w:val="0"/>
          <w:numId w:val="2"/>
        </w:numPr>
        <w:rPr>
          <w:b/>
          <w:bCs/>
        </w:rPr>
      </w:pPr>
      <w:r w:rsidRPr="450ABE78">
        <w:rPr>
          <w:b/>
          <w:bCs/>
        </w:rPr>
        <w:t>Variance-</w:t>
      </w:r>
      <w:r w:rsidR="6D9A11F3" w:rsidRPr="450ABE78">
        <w:rPr>
          <w:b/>
          <w:bCs/>
        </w:rPr>
        <w:t>Co-V</w:t>
      </w:r>
      <w:r w:rsidRPr="450ABE78">
        <w:rPr>
          <w:b/>
          <w:bCs/>
        </w:rPr>
        <w:t>ariance matrix</w:t>
      </w:r>
    </w:p>
    <w:p w14:paraId="5A02D829" w14:textId="48EE5848" w:rsidR="52F60130" w:rsidRDefault="52F60130" w:rsidP="450ABE78">
      <w:r>
        <w:rPr>
          <w:noProof/>
        </w:rPr>
        <w:drawing>
          <wp:inline distT="0" distB="0" distL="0" distR="0" wp14:anchorId="5C2D5D83" wp14:editId="3A1D50A6">
            <wp:extent cx="5943600" cy="2486025"/>
            <wp:effectExtent l="0" t="0" r="0" b="0"/>
            <wp:docPr id="1206374290" name="Picture 120637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2C078E63" w14:textId="4AFC3009" w:rsidR="00036068" w:rsidRDefault="786E2070" w:rsidP="450ABE78">
      <w:pPr>
        <w:pStyle w:val="ListParagraph"/>
        <w:numPr>
          <w:ilvl w:val="0"/>
          <w:numId w:val="2"/>
        </w:numPr>
        <w:rPr>
          <w:b/>
          <w:bCs/>
        </w:rPr>
      </w:pPr>
      <w:r w:rsidRPr="450ABE78">
        <w:rPr>
          <w:b/>
          <w:bCs/>
        </w:rPr>
        <w:t>Compare the Beta with Yahoo’s betas</w:t>
      </w:r>
    </w:p>
    <w:tbl>
      <w:tblPr>
        <w:tblStyle w:val="TableGrid"/>
        <w:tblW w:w="0" w:type="auto"/>
        <w:tblLayout w:type="fixed"/>
        <w:tblLook w:val="06A0" w:firstRow="1" w:lastRow="0" w:firstColumn="1" w:lastColumn="0" w:noHBand="1" w:noVBand="1"/>
      </w:tblPr>
      <w:tblGrid>
        <w:gridCol w:w="1695"/>
        <w:gridCol w:w="3670"/>
        <w:gridCol w:w="3995"/>
      </w:tblGrid>
      <w:tr w:rsidR="5E8429A3" w14:paraId="57F75D54" w14:textId="77777777" w:rsidTr="450ABE78">
        <w:trPr>
          <w:trHeight w:val="300"/>
        </w:trPr>
        <w:tc>
          <w:tcPr>
            <w:tcW w:w="1695" w:type="dxa"/>
            <w:vAlign w:val="center"/>
          </w:tcPr>
          <w:p w14:paraId="35060951" w14:textId="05EBFF86" w:rsidR="3A85541C" w:rsidRDefault="3A85541C" w:rsidP="5C3E8486">
            <w:pPr>
              <w:jc w:val="center"/>
              <w:rPr>
                <w:b/>
                <w:bCs/>
              </w:rPr>
            </w:pPr>
            <w:r w:rsidRPr="5C3E8486">
              <w:rPr>
                <w:b/>
                <w:bCs/>
              </w:rPr>
              <w:t>Stock</w:t>
            </w:r>
          </w:p>
        </w:tc>
        <w:tc>
          <w:tcPr>
            <w:tcW w:w="3670" w:type="dxa"/>
            <w:vAlign w:val="center"/>
          </w:tcPr>
          <w:p w14:paraId="7D43D96B" w14:textId="25E72215" w:rsidR="3A85541C" w:rsidRDefault="3A85541C" w:rsidP="5C3E8486">
            <w:pPr>
              <w:jc w:val="center"/>
              <w:rPr>
                <w:b/>
                <w:bCs/>
              </w:rPr>
            </w:pPr>
            <w:r w:rsidRPr="5C3E8486">
              <w:rPr>
                <w:b/>
                <w:bCs/>
              </w:rPr>
              <w:t>CAPM beta</w:t>
            </w:r>
          </w:p>
        </w:tc>
        <w:tc>
          <w:tcPr>
            <w:tcW w:w="3995" w:type="dxa"/>
            <w:vAlign w:val="center"/>
          </w:tcPr>
          <w:p w14:paraId="31E13D1C" w14:textId="1A14CE58" w:rsidR="3A85541C" w:rsidRDefault="3A85541C" w:rsidP="5C3E8486">
            <w:pPr>
              <w:jc w:val="center"/>
              <w:rPr>
                <w:b/>
                <w:bCs/>
              </w:rPr>
            </w:pPr>
            <w:r w:rsidRPr="5C3E8486">
              <w:rPr>
                <w:b/>
                <w:bCs/>
              </w:rPr>
              <w:t>Yahoo Finance beta</w:t>
            </w:r>
          </w:p>
        </w:tc>
      </w:tr>
      <w:tr w:rsidR="5E8429A3" w14:paraId="776AACB2" w14:textId="77777777" w:rsidTr="450ABE78">
        <w:trPr>
          <w:trHeight w:val="300"/>
        </w:trPr>
        <w:tc>
          <w:tcPr>
            <w:tcW w:w="1695" w:type="dxa"/>
            <w:vAlign w:val="center"/>
          </w:tcPr>
          <w:p w14:paraId="144445DA" w14:textId="399C536C" w:rsidR="3A85541C" w:rsidRDefault="3A85541C" w:rsidP="5C3E8486">
            <w:pPr>
              <w:jc w:val="center"/>
            </w:pPr>
            <w:r>
              <w:t>AAPL</w:t>
            </w:r>
          </w:p>
        </w:tc>
        <w:tc>
          <w:tcPr>
            <w:tcW w:w="3670" w:type="dxa"/>
            <w:vAlign w:val="center"/>
          </w:tcPr>
          <w:p w14:paraId="4B5012DE" w14:textId="1351A8EA" w:rsidR="3A85541C" w:rsidRDefault="3A85541C" w:rsidP="5C3E8486">
            <w:pPr>
              <w:jc w:val="center"/>
            </w:pPr>
            <w:r w:rsidRPr="5C3E8486">
              <w:rPr>
                <w:rFonts w:ascii="system-ui" w:eastAsia="system-ui" w:hAnsi="system-ui" w:cs="system-ui"/>
                <w:sz w:val="19"/>
                <w:szCs w:val="19"/>
              </w:rPr>
              <w:t>1.194633</w:t>
            </w:r>
          </w:p>
        </w:tc>
        <w:tc>
          <w:tcPr>
            <w:tcW w:w="3995" w:type="dxa"/>
            <w:vAlign w:val="center"/>
          </w:tcPr>
          <w:p w14:paraId="4C48CB27" w14:textId="5C086324" w:rsidR="3A85541C" w:rsidRDefault="3A85541C" w:rsidP="5C3E8486">
            <w:pPr>
              <w:jc w:val="center"/>
            </w:pPr>
            <w:r w:rsidRPr="5C3E8486">
              <w:rPr>
                <w:rFonts w:ascii="system-ui" w:eastAsia="system-ui" w:hAnsi="system-ui" w:cs="system-ui"/>
                <w:sz w:val="19"/>
                <w:szCs w:val="19"/>
              </w:rPr>
              <w:t>1.240</w:t>
            </w:r>
          </w:p>
        </w:tc>
      </w:tr>
      <w:tr w:rsidR="5E8429A3" w14:paraId="00B69E41" w14:textId="77777777" w:rsidTr="450ABE78">
        <w:trPr>
          <w:trHeight w:val="300"/>
        </w:trPr>
        <w:tc>
          <w:tcPr>
            <w:tcW w:w="1695" w:type="dxa"/>
            <w:vAlign w:val="center"/>
          </w:tcPr>
          <w:p w14:paraId="3821B17F" w14:textId="46C8EDC5" w:rsidR="3A85541C" w:rsidRDefault="3A85541C" w:rsidP="5C3E8486">
            <w:pPr>
              <w:jc w:val="center"/>
            </w:pPr>
            <w:r>
              <w:t>NVDA</w:t>
            </w:r>
          </w:p>
        </w:tc>
        <w:tc>
          <w:tcPr>
            <w:tcW w:w="3670" w:type="dxa"/>
            <w:vAlign w:val="center"/>
          </w:tcPr>
          <w:p w14:paraId="4EE0D675" w14:textId="0E0B37FB" w:rsidR="3A85541C" w:rsidRDefault="3A85541C" w:rsidP="5C3E8486">
            <w:pPr>
              <w:jc w:val="center"/>
            </w:pPr>
            <w:r w:rsidRPr="5C3E8486">
              <w:rPr>
                <w:rFonts w:ascii="system-ui" w:eastAsia="system-ui" w:hAnsi="system-ui" w:cs="system-ui"/>
                <w:sz w:val="19"/>
                <w:szCs w:val="19"/>
              </w:rPr>
              <w:t>1.643941</w:t>
            </w:r>
          </w:p>
        </w:tc>
        <w:tc>
          <w:tcPr>
            <w:tcW w:w="3995" w:type="dxa"/>
            <w:vAlign w:val="center"/>
          </w:tcPr>
          <w:p w14:paraId="25C2A5A6" w14:textId="2411DF54" w:rsidR="3A85541C" w:rsidRDefault="3A85541C" w:rsidP="5C3E8486">
            <w:pPr>
              <w:jc w:val="center"/>
            </w:pPr>
            <w:r w:rsidRPr="5C3E8486">
              <w:rPr>
                <w:rFonts w:ascii="system-ui" w:eastAsia="system-ui" w:hAnsi="system-ui" w:cs="system-ui"/>
                <w:sz w:val="19"/>
                <w:szCs w:val="19"/>
              </w:rPr>
              <w:t>1.657</w:t>
            </w:r>
          </w:p>
        </w:tc>
      </w:tr>
      <w:tr w:rsidR="5E8429A3" w14:paraId="2513FDA6" w14:textId="77777777" w:rsidTr="450ABE78">
        <w:trPr>
          <w:trHeight w:val="300"/>
        </w:trPr>
        <w:tc>
          <w:tcPr>
            <w:tcW w:w="1695" w:type="dxa"/>
            <w:vAlign w:val="center"/>
          </w:tcPr>
          <w:p w14:paraId="188B8FE8" w14:textId="54D36FC3" w:rsidR="3A85541C" w:rsidRDefault="3A85541C" w:rsidP="5C3E8486">
            <w:pPr>
              <w:jc w:val="center"/>
            </w:pPr>
            <w:r>
              <w:t>XOM</w:t>
            </w:r>
          </w:p>
        </w:tc>
        <w:tc>
          <w:tcPr>
            <w:tcW w:w="3670" w:type="dxa"/>
            <w:vAlign w:val="center"/>
          </w:tcPr>
          <w:p w14:paraId="76664D96" w14:textId="6C6C73D8" w:rsidR="3A85541C" w:rsidRDefault="3A85541C" w:rsidP="5C3E8486">
            <w:pPr>
              <w:jc w:val="center"/>
            </w:pPr>
            <w:r w:rsidRPr="5C3E8486">
              <w:rPr>
                <w:rFonts w:ascii="system-ui" w:eastAsia="system-ui" w:hAnsi="system-ui" w:cs="system-ui"/>
                <w:sz w:val="19"/>
                <w:szCs w:val="19"/>
              </w:rPr>
              <w:t>0.872150</w:t>
            </w:r>
          </w:p>
        </w:tc>
        <w:tc>
          <w:tcPr>
            <w:tcW w:w="3995" w:type="dxa"/>
            <w:vAlign w:val="center"/>
          </w:tcPr>
          <w:p w14:paraId="1BA3AAEB" w14:textId="3C045228" w:rsidR="3A85541C" w:rsidRDefault="3A85541C" w:rsidP="5C3E8486">
            <w:pPr>
              <w:jc w:val="center"/>
            </w:pPr>
            <w:r w:rsidRPr="5C3E8486">
              <w:rPr>
                <w:rFonts w:ascii="system-ui" w:eastAsia="system-ui" w:hAnsi="system-ui" w:cs="system-ui"/>
                <w:sz w:val="19"/>
                <w:szCs w:val="19"/>
              </w:rPr>
              <w:t>0.880</w:t>
            </w:r>
          </w:p>
        </w:tc>
      </w:tr>
      <w:tr w:rsidR="5E8429A3" w14:paraId="03DF2A4D" w14:textId="77777777" w:rsidTr="450ABE78">
        <w:trPr>
          <w:trHeight w:val="300"/>
        </w:trPr>
        <w:tc>
          <w:tcPr>
            <w:tcW w:w="1695" w:type="dxa"/>
            <w:vAlign w:val="center"/>
          </w:tcPr>
          <w:p w14:paraId="55E02470" w14:textId="3CC00B43" w:rsidR="3A85541C" w:rsidRDefault="3A85541C" w:rsidP="5C3E8486">
            <w:pPr>
              <w:jc w:val="center"/>
            </w:pPr>
            <w:r>
              <w:t>COST</w:t>
            </w:r>
          </w:p>
        </w:tc>
        <w:tc>
          <w:tcPr>
            <w:tcW w:w="3670" w:type="dxa"/>
            <w:vAlign w:val="center"/>
          </w:tcPr>
          <w:p w14:paraId="1D362CA7" w14:textId="646EE615" w:rsidR="3A85541C" w:rsidRDefault="3A85541C" w:rsidP="5C3E8486">
            <w:pPr>
              <w:jc w:val="center"/>
            </w:pPr>
            <w:r w:rsidRPr="5C3E8486">
              <w:rPr>
                <w:rFonts w:ascii="system-ui" w:eastAsia="system-ui" w:hAnsi="system-ui" w:cs="system-ui"/>
                <w:sz w:val="19"/>
                <w:szCs w:val="19"/>
              </w:rPr>
              <w:t>0.761936</w:t>
            </w:r>
          </w:p>
        </w:tc>
        <w:tc>
          <w:tcPr>
            <w:tcW w:w="3995" w:type="dxa"/>
            <w:vAlign w:val="center"/>
          </w:tcPr>
          <w:p w14:paraId="78E6FF8D" w14:textId="4D3ADAA1" w:rsidR="3A85541C" w:rsidRDefault="3A85541C" w:rsidP="5C3E8486">
            <w:pPr>
              <w:jc w:val="center"/>
            </w:pPr>
            <w:r w:rsidRPr="5C3E8486">
              <w:rPr>
                <w:rFonts w:ascii="system-ui" w:eastAsia="system-ui" w:hAnsi="system-ui" w:cs="system-ui"/>
                <w:sz w:val="19"/>
                <w:szCs w:val="19"/>
              </w:rPr>
              <w:t>0.789</w:t>
            </w:r>
          </w:p>
        </w:tc>
      </w:tr>
      <w:tr w:rsidR="5E8429A3" w14:paraId="5FB7EDF3" w14:textId="77777777" w:rsidTr="450ABE78">
        <w:trPr>
          <w:trHeight w:val="300"/>
        </w:trPr>
        <w:tc>
          <w:tcPr>
            <w:tcW w:w="1695" w:type="dxa"/>
            <w:vAlign w:val="center"/>
          </w:tcPr>
          <w:p w14:paraId="7A246727" w14:textId="2F9DF4E2" w:rsidR="3A85541C" w:rsidRDefault="3A85541C" w:rsidP="5C3E8486">
            <w:pPr>
              <w:jc w:val="center"/>
            </w:pPr>
            <w:r>
              <w:t>TSLA</w:t>
            </w:r>
          </w:p>
        </w:tc>
        <w:tc>
          <w:tcPr>
            <w:tcW w:w="3670" w:type="dxa"/>
            <w:vAlign w:val="center"/>
          </w:tcPr>
          <w:p w14:paraId="19460C37" w14:textId="166199D8" w:rsidR="3A85541C" w:rsidRDefault="3A85541C" w:rsidP="5C3E8486">
            <w:pPr>
              <w:jc w:val="center"/>
            </w:pPr>
            <w:r w:rsidRPr="5C3E8486">
              <w:rPr>
                <w:rFonts w:ascii="system-ui" w:eastAsia="system-ui" w:hAnsi="system-ui" w:cs="system-ui"/>
                <w:sz w:val="19"/>
                <w:szCs w:val="19"/>
              </w:rPr>
              <w:t>2.069860</w:t>
            </w:r>
          </w:p>
        </w:tc>
        <w:tc>
          <w:tcPr>
            <w:tcW w:w="3995" w:type="dxa"/>
            <w:vAlign w:val="center"/>
          </w:tcPr>
          <w:p w14:paraId="4E70265A" w14:textId="2A3E841F" w:rsidR="3A85541C" w:rsidRDefault="3A85541C" w:rsidP="5C3E8486">
            <w:pPr>
              <w:jc w:val="center"/>
            </w:pPr>
            <w:r w:rsidRPr="5C3E8486">
              <w:rPr>
                <w:rFonts w:ascii="system-ui" w:eastAsia="system-ui" w:hAnsi="system-ui" w:cs="system-ui"/>
                <w:sz w:val="19"/>
                <w:szCs w:val="19"/>
              </w:rPr>
              <w:t>2.295</w:t>
            </w:r>
          </w:p>
        </w:tc>
      </w:tr>
      <w:tr w:rsidR="5E8429A3" w14:paraId="7914E14B" w14:textId="77777777" w:rsidTr="450ABE78">
        <w:trPr>
          <w:trHeight w:val="300"/>
        </w:trPr>
        <w:tc>
          <w:tcPr>
            <w:tcW w:w="1695" w:type="dxa"/>
            <w:vAlign w:val="center"/>
          </w:tcPr>
          <w:p w14:paraId="799C355D" w14:textId="57EC862A" w:rsidR="3A85541C" w:rsidRDefault="3A85541C" w:rsidP="5C3E8486">
            <w:pPr>
              <w:jc w:val="center"/>
            </w:pPr>
            <w:r>
              <w:t>BRK-B</w:t>
            </w:r>
          </w:p>
        </w:tc>
        <w:tc>
          <w:tcPr>
            <w:tcW w:w="3670" w:type="dxa"/>
            <w:vAlign w:val="center"/>
          </w:tcPr>
          <w:p w14:paraId="5518BDC6" w14:textId="3B0E5E0C" w:rsidR="3A85541C" w:rsidRDefault="3A85541C" w:rsidP="5C3E8486">
            <w:pPr>
              <w:jc w:val="center"/>
            </w:pPr>
            <w:r w:rsidRPr="5C3E8486">
              <w:rPr>
                <w:rFonts w:ascii="system-ui" w:eastAsia="system-ui" w:hAnsi="system-ui" w:cs="system-ui"/>
                <w:sz w:val="19"/>
                <w:szCs w:val="19"/>
              </w:rPr>
              <w:t>0.858081</w:t>
            </w:r>
          </w:p>
        </w:tc>
        <w:tc>
          <w:tcPr>
            <w:tcW w:w="3995" w:type="dxa"/>
            <w:vAlign w:val="center"/>
          </w:tcPr>
          <w:p w14:paraId="2886BB08" w14:textId="2D4CD90B" w:rsidR="3A85541C" w:rsidRDefault="3A85541C" w:rsidP="5C3E8486">
            <w:pPr>
              <w:jc w:val="center"/>
            </w:pPr>
            <w:r w:rsidRPr="5C3E8486">
              <w:rPr>
                <w:rFonts w:ascii="system-ui" w:eastAsia="system-ui" w:hAnsi="system-ui" w:cs="system-ui"/>
                <w:sz w:val="19"/>
                <w:szCs w:val="19"/>
              </w:rPr>
              <w:t>0.871</w:t>
            </w:r>
          </w:p>
        </w:tc>
      </w:tr>
      <w:tr w:rsidR="5E8429A3" w14:paraId="644B7F86" w14:textId="77777777" w:rsidTr="450ABE78">
        <w:trPr>
          <w:trHeight w:val="300"/>
        </w:trPr>
        <w:tc>
          <w:tcPr>
            <w:tcW w:w="1695" w:type="dxa"/>
            <w:vAlign w:val="center"/>
          </w:tcPr>
          <w:p w14:paraId="25C21DB1" w14:textId="0BFCAEAB" w:rsidR="3A85541C" w:rsidRDefault="3A85541C" w:rsidP="5C3E8486">
            <w:pPr>
              <w:jc w:val="center"/>
            </w:pPr>
            <w:r>
              <w:t>JNJ</w:t>
            </w:r>
          </w:p>
        </w:tc>
        <w:tc>
          <w:tcPr>
            <w:tcW w:w="3670" w:type="dxa"/>
            <w:vAlign w:val="center"/>
          </w:tcPr>
          <w:p w14:paraId="13FCC73E" w14:textId="41E087F9" w:rsidR="3A85541C" w:rsidRDefault="3A85541C" w:rsidP="5C3E8486">
            <w:pPr>
              <w:jc w:val="center"/>
            </w:pPr>
            <w:r w:rsidRPr="5C3E8486">
              <w:rPr>
                <w:rFonts w:ascii="system-ui" w:eastAsia="system-ui" w:hAnsi="system-ui" w:cs="system-ui"/>
                <w:sz w:val="19"/>
                <w:szCs w:val="19"/>
              </w:rPr>
              <w:t>0.480121</w:t>
            </w:r>
          </w:p>
        </w:tc>
        <w:tc>
          <w:tcPr>
            <w:tcW w:w="3995" w:type="dxa"/>
            <w:vAlign w:val="center"/>
          </w:tcPr>
          <w:p w14:paraId="0F6FDE73" w14:textId="434068D4" w:rsidR="5E8429A3" w:rsidRDefault="3A85541C" w:rsidP="5C3E8486">
            <w:pPr>
              <w:jc w:val="center"/>
            </w:pPr>
            <w:r w:rsidRPr="5C3E8486">
              <w:rPr>
                <w:rFonts w:ascii="system-ui" w:eastAsia="system-ui" w:hAnsi="system-ui" w:cs="system-ui"/>
                <w:sz w:val="19"/>
                <w:szCs w:val="19"/>
              </w:rPr>
              <w:t>0.518</w:t>
            </w:r>
          </w:p>
        </w:tc>
      </w:tr>
      <w:tr w:rsidR="5E8429A3" w14:paraId="4CE1EBDD" w14:textId="77777777" w:rsidTr="450ABE78">
        <w:trPr>
          <w:trHeight w:val="300"/>
        </w:trPr>
        <w:tc>
          <w:tcPr>
            <w:tcW w:w="1695" w:type="dxa"/>
            <w:vAlign w:val="center"/>
          </w:tcPr>
          <w:p w14:paraId="69B11525" w14:textId="720B0847" w:rsidR="3A85541C" w:rsidRDefault="3A85541C" w:rsidP="5C3E8486">
            <w:pPr>
              <w:jc w:val="center"/>
            </w:pPr>
            <w:r>
              <w:t>JPM</w:t>
            </w:r>
          </w:p>
        </w:tc>
        <w:tc>
          <w:tcPr>
            <w:tcW w:w="3670" w:type="dxa"/>
            <w:vAlign w:val="center"/>
          </w:tcPr>
          <w:p w14:paraId="29537827" w14:textId="2A7F499B" w:rsidR="3A85541C" w:rsidRDefault="3A85541C" w:rsidP="5C3E8486">
            <w:pPr>
              <w:jc w:val="center"/>
            </w:pPr>
            <w:r w:rsidRPr="5C3E8486">
              <w:rPr>
                <w:rFonts w:ascii="system-ui" w:eastAsia="system-ui" w:hAnsi="system-ui" w:cs="system-ui"/>
                <w:sz w:val="19"/>
                <w:szCs w:val="19"/>
              </w:rPr>
              <w:t>1.116842</w:t>
            </w:r>
          </w:p>
        </w:tc>
        <w:tc>
          <w:tcPr>
            <w:tcW w:w="3995" w:type="dxa"/>
            <w:vAlign w:val="center"/>
          </w:tcPr>
          <w:p w14:paraId="29172E03" w14:textId="39640948" w:rsidR="5E8429A3" w:rsidRDefault="3A85541C" w:rsidP="5C3E8486">
            <w:pPr>
              <w:jc w:val="center"/>
            </w:pPr>
            <w:r w:rsidRPr="5C3E8486">
              <w:rPr>
                <w:rFonts w:ascii="system-ui" w:eastAsia="system-ui" w:hAnsi="system-ui" w:cs="system-ui"/>
                <w:sz w:val="19"/>
                <w:szCs w:val="19"/>
              </w:rPr>
              <w:t>1.091</w:t>
            </w:r>
          </w:p>
        </w:tc>
      </w:tr>
      <w:tr w:rsidR="5E8429A3" w14:paraId="648BBCC5" w14:textId="77777777" w:rsidTr="450ABE78">
        <w:trPr>
          <w:trHeight w:val="300"/>
        </w:trPr>
        <w:tc>
          <w:tcPr>
            <w:tcW w:w="1695" w:type="dxa"/>
            <w:vAlign w:val="center"/>
          </w:tcPr>
          <w:p w14:paraId="39CF273A" w14:textId="0A812A34" w:rsidR="3A85541C" w:rsidRDefault="3A85541C" w:rsidP="5C3E8486">
            <w:pPr>
              <w:jc w:val="center"/>
            </w:pPr>
            <w:r>
              <w:t>LMT</w:t>
            </w:r>
          </w:p>
        </w:tc>
        <w:tc>
          <w:tcPr>
            <w:tcW w:w="3670" w:type="dxa"/>
            <w:vAlign w:val="center"/>
          </w:tcPr>
          <w:p w14:paraId="2A48E391" w14:textId="74032B0F" w:rsidR="3A85541C" w:rsidRDefault="3A85541C" w:rsidP="5C3E8486">
            <w:pPr>
              <w:jc w:val="center"/>
            </w:pPr>
            <w:r w:rsidRPr="5C3E8486">
              <w:rPr>
                <w:rFonts w:ascii="system-ui" w:eastAsia="system-ui" w:hAnsi="system-ui" w:cs="system-ui"/>
                <w:sz w:val="19"/>
                <w:szCs w:val="19"/>
              </w:rPr>
              <w:t>0.448991</w:t>
            </w:r>
          </w:p>
        </w:tc>
        <w:tc>
          <w:tcPr>
            <w:tcW w:w="3995" w:type="dxa"/>
            <w:vAlign w:val="center"/>
          </w:tcPr>
          <w:p w14:paraId="3C1C5F58" w14:textId="2DEF4003" w:rsidR="5E8429A3" w:rsidRDefault="3A85541C" w:rsidP="5C3E8486">
            <w:pPr>
              <w:jc w:val="center"/>
            </w:pPr>
            <w:r w:rsidRPr="5C3E8486">
              <w:rPr>
                <w:rFonts w:ascii="system-ui" w:eastAsia="system-ui" w:hAnsi="system-ui" w:cs="system-ui"/>
                <w:sz w:val="19"/>
                <w:szCs w:val="19"/>
              </w:rPr>
              <w:t>0.481</w:t>
            </w:r>
          </w:p>
        </w:tc>
      </w:tr>
      <w:tr w:rsidR="5E8429A3" w14:paraId="378AC82D" w14:textId="77777777" w:rsidTr="450ABE78">
        <w:trPr>
          <w:trHeight w:val="300"/>
        </w:trPr>
        <w:tc>
          <w:tcPr>
            <w:tcW w:w="1695" w:type="dxa"/>
            <w:vAlign w:val="center"/>
          </w:tcPr>
          <w:p w14:paraId="51C8B83D" w14:textId="668742BE" w:rsidR="3A85541C" w:rsidRDefault="3A85541C" w:rsidP="5C3E8486">
            <w:pPr>
              <w:jc w:val="center"/>
            </w:pPr>
            <w:r>
              <w:t>FIX</w:t>
            </w:r>
          </w:p>
        </w:tc>
        <w:tc>
          <w:tcPr>
            <w:tcW w:w="3670" w:type="dxa"/>
            <w:vAlign w:val="center"/>
          </w:tcPr>
          <w:p w14:paraId="5ED21E4E" w14:textId="579DFB43" w:rsidR="3A85541C" w:rsidRDefault="3A85541C" w:rsidP="5C3E8486">
            <w:pPr>
              <w:jc w:val="center"/>
            </w:pPr>
            <w:r w:rsidRPr="5C3E8486">
              <w:rPr>
                <w:rFonts w:ascii="system-ui" w:eastAsia="system-ui" w:hAnsi="system-ui" w:cs="system-ui"/>
                <w:sz w:val="19"/>
                <w:szCs w:val="19"/>
              </w:rPr>
              <w:t>1.066398</w:t>
            </w:r>
          </w:p>
        </w:tc>
        <w:tc>
          <w:tcPr>
            <w:tcW w:w="3995" w:type="dxa"/>
            <w:vAlign w:val="center"/>
          </w:tcPr>
          <w:p w14:paraId="4F0F4ABC" w14:textId="3EA9B57B" w:rsidR="5E8429A3" w:rsidRDefault="3A85541C" w:rsidP="5C3E8486">
            <w:pPr>
              <w:jc w:val="center"/>
            </w:pPr>
            <w:r w:rsidRPr="5C3E8486">
              <w:rPr>
                <w:rFonts w:ascii="system-ui" w:eastAsia="system-ui" w:hAnsi="system-ui" w:cs="system-ui"/>
                <w:sz w:val="19"/>
                <w:szCs w:val="19"/>
              </w:rPr>
              <w:t>1.130</w:t>
            </w:r>
          </w:p>
        </w:tc>
      </w:tr>
    </w:tbl>
    <w:p w14:paraId="61A35896" w14:textId="10B0EAE0" w:rsidR="450ABE78" w:rsidRDefault="450ABE78"/>
    <w:p w14:paraId="7627868C" w14:textId="3B2D75AE" w:rsidR="7A82AC09" w:rsidRDefault="3B2977ED" w:rsidP="4EF9F414">
      <w:r>
        <w:t xml:space="preserve">The betas of the stocks we calculated are </w:t>
      </w:r>
      <w:proofErr w:type="gramStart"/>
      <w:r>
        <w:t>similar to</w:t>
      </w:r>
      <w:proofErr w:type="gramEnd"/>
      <w:r>
        <w:t xml:space="preserve"> Yahoo</w:t>
      </w:r>
      <w:r w:rsidR="73CCCFB1">
        <w:t xml:space="preserve"> Finance</w:t>
      </w:r>
      <w:r>
        <w:t xml:space="preserve">’s betas if rounded up to </w:t>
      </w:r>
      <w:r w:rsidR="3C572913">
        <w:t>one</w:t>
      </w:r>
      <w:r>
        <w:t xml:space="preserve"> decimal</w:t>
      </w:r>
      <w:r w:rsidR="4355646C">
        <w:t xml:space="preserve"> but slightly different from two decimals or more</w:t>
      </w:r>
      <w:r>
        <w:t xml:space="preserve">. </w:t>
      </w:r>
      <w:r w:rsidR="34718033">
        <w:t>This minor discrepancy might be due to the different inputs we use for the regression compared with Yahoo</w:t>
      </w:r>
      <w:r w:rsidR="057353AF">
        <w:t xml:space="preserve"> Finance</w:t>
      </w:r>
      <w:r w:rsidR="34718033">
        <w:t>’s</w:t>
      </w:r>
      <w:r w:rsidR="16C7BCA2">
        <w:t xml:space="preserve">. For example, we use </w:t>
      </w:r>
      <w:r w:rsidR="00E0B1F1">
        <w:t xml:space="preserve">the performance </w:t>
      </w:r>
      <w:r w:rsidR="16C7BCA2">
        <w:t xml:space="preserve">SPY (an ETF) as the market portfolio benchmark while Yahoo could have used </w:t>
      </w:r>
      <w:r w:rsidR="76F72A38">
        <w:t xml:space="preserve">the performance of </w:t>
      </w:r>
      <w:r w:rsidR="16C7BCA2">
        <w:t>S&amp;P500 (a</w:t>
      </w:r>
      <w:r w:rsidR="289B871D">
        <w:t xml:space="preserve">n index) as </w:t>
      </w:r>
      <w:r w:rsidR="4D825885">
        <w:t xml:space="preserve">the benchmark. </w:t>
      </w:r>
      <w:r w:rsidR="5A440D21">
        <w:t xml:space="preserve">The discrepancy might also come from the difference in the return </w:t>
      </w:r>
      <w:r w:rsidR="5A440D21">
        <w:lastRenderedPageBreak/>
        <w:t xml:space="preserve">calculation: we used log-return to calculate excess returns, while Yahoo Finance could have used </w:t>
      </w:r>
      <w:r w:rsidR="0714F075">
        <w:t>simple returns instead.</w:t>
      </w:r>
    </w:p>
    <w:p w14:paraId="4A6D44F0" w14:textId="2416C48A" w:rsidR="450ABE78" w:rsidRDefault="450ABE78"/>
    <w:p w14:paraId="265E9AE7" w14:textId="6FB4D9F2" w:rsidR="24B367F6" w:rsidRDefault="545BD9C4" w:rsidP="450ABE78">
      <w:pPr>
        <w:pStyle w:val="ListParagraph"/>
        <w:numPr>
          <w:ilvl w:val="0"/>
          <w:numId w:val="2"/>
        </w:numPr>
        <w:rPr>
          <w:b/>
          <w:bCs/>
        </w:rPr>
      </w:pPr>
      <w:r w:rsidRPr="450ABE78">
        <w:rPr>
          <w:b/>
          <w:bCs/>
        </w:rPr>
        <w:t>Is the alpha statistically significant at 95%?</w:t>
      </w:r>
    </w:p>
    <w:tbl>
      <w:tblPr>
        <w:tblStyle w:val="TableGrid"/>
        <w:tblW w:w="0" w:type="auto"/>
        <w:tblLook w:val="06A0" w:firstRow="1" w:lastRow="0" w:firstColumn="1" w:lastColumn="0" w:noHBand="1" w:noVBand="1"/>
      </w:tblPr>
      <w:tblGrid>
        <w:gridCol w:w="1694"/>
        <w:gridCol w:w="3666"/>
        <w:gridCol w:w="3990"/>
      </w:tblGrid>
      <w:tr w:rsidR="450ABE78" w14:paraId="41D17F88" w14:textId="77777777" w:rsidTr="450ABE78">
        <w:trPr>
          <w:trHeight w:val="300"/>
        </w:trPr>
        <w:tc>
          <w:tcPr>
            <w:tcW w:w="1695" w:type="dxa"/>
            <w:vAlign w:val="center"/>
          </w:tcPr>
          <w:p w14:paraId="47FB5E45" w14:textId="05EBFF86" w:rsidR="450ABE78" w:rsidRDefault="450ABE78" w:rsidP="450ABE78">
            <w:pPr>
              <w:jc w:val="center"/>
              <w:rPr>
                <w:b/>
                <w:bCs/>
              </w:rPr>
            </w:pPr>
            <w:r w:rsidRPr="450ABE78">
              <w:rPr>
                <w:b/>
                <w:bCs/>
              </w:rPr>
              <w:t>Stock</w:t>
            </w:r>
          </w:p>
        </w:tc>
        <w:tc>
          <w:tcPr>
            <w:tcW w:w="3670" w:type="dxa"/>
            <w:vAlign w:val="center"/>
          </w:tcPr>
          <w:p w14:paraId="044FD4F2" w14:textId="7686483F" w:rsidR="450ABE78" w:rsidRDefault="450ABE78" w:rsidP="450ABE78">
            <w:pPr>
              <w:jc w:val="center"/>
              <w:rPr>
                <w:b/>
                <w:bCs/>
              </w:rPr>
            </w:pPr>
            <w:r w:rsidRPr="450ABE78">
              <w:rPr>
                <w:b/>
                <w:bCs/>
              </w:rPr>
              <w:t>CAPM a</w:t>
            </w:r>
            <w:r w:rsidR="6962CF66" w:rsidRPr="450ABE78">
              <w:rPr>
                <w:b/>
                <w:bCs/>
              </w:rPr>
              <w:t>lpha</w:t>
            </w:r>
          </w:p>
        </w:tc>
        <w:tc>
          <w:tcPr>
            <w:tcW w:w="3995" w:type="dxa"/>
            <w:vAlign w:val="center"/>
          </w:tcPr>
          <w:p w14:paraId="5B90372D" w14:textId="43E692CC" w:rsidR="6962CF66" w:rsidRDefault="6962CF66" w:rsidP="450ABE78">
            <w:pPr>
              <w:jc w:val="center"/>
              <w:rPr>
                <w:b/>
                <w:bCs/>
              </w:rPr>
            </w:pPr>
            <w:r w:rsidRPr="450ABE78">
              <w:rPr>
                <w:b/>
                <w:bCs/>
              </w:rPr>
              <w:t>CAPM alpha p-value</w:t>
            </w:r>
          </w:p>
        </w:tc>
      </w:tr>
      <w:tr w:rsidR="450ABE78" w14:paraId="491F178F" w14:textId="77777777" w:rsidTr="450ABE78">
        <w:trPr>
          <w:trHeight w:val="300"/>
        </w:trPr>
        <w:tc>
          <w:tcPr>
            <w:tcW w:w="1695" w:type="dxa"/>
            <w:vAlign w:val="center"/>
          </w:tcPr>
          <w:p w14:paraId="3F95B75D" w14:textId="399C536C" w:rsidR="450ABE78" w:rsidRDefault="450ABE78" w:rsidP="450ABE78">
            <w:pPr>
              <w:jc w:val="center"/>
            </w:pPr>
            <w:r>
              <w:t>AAPL</w:t>
            </w:r>
          </w:p>
        </w:tc>
        <w:tc>
          <w:tcPr>
            <w:tcW w:w="3670" w:type="dxa"/>
            <w:vAlign w:val="center"/>
          </w:tcPr>
          <w:p w14:paraId="7F5B2BD7" w14:textId="6D21B4BA" w:rsidR="703AADB2" w:rsidRDefault="703AADB2" w:rsidP="450ABE78">
            <w:pPr>
              <w:jc w:val="center"/>
            </w:pPr>
            <w:r w:rsidRPr="450ABE78">
              <w:rPr>
                <w:rFonts w:ascii="system-ui" w:eastAsia="system-ui" w:hAnsi="system-ui" w:cs="system-ui"/>
                <w:sz w:val="19"/>
                <w:szCs w:val="19"/>
              </w:rPr>
              <w:t>0.009998</w:t>
            </w:r>
          </w:p>
        </w:tc>
        <w:tc>
          <w:tcPr>
            <w:tcW w:w="3995" w:type="dxa"/>
            <w:vAlign w:val="center"/>
          </w:tcPr>
          <w:p w14:paraId="67B6683E" w14:textId="35582B74" w:rsidR="1B501A42" w:rsidRDefault="1B501A42" w:rsidP="450ABE78">
            <w:pPr>
              <w:jc w:val="center"/>
            </w:pPr>
            <w:r w:rsidRPr="450ABE78">
              <w:rPr>
                <w:rFonts w:ascii="system-ui" w:eastAsia="system-ui" w:hAnsi="system-ui" w:cs="system-ui"/>
                <w:sz w:val="19"/>
                <w:szCs w:val="19"/>
              </w:rPr>
              <w:t>0.164158</w:t>
            </w:r>
          </w:p>
        </w:tc>
      </w:tr>
      <w:tr w:rsidR="450ABE78" w14:paraId="1603B33B" w14:textId="77777777" w:rsidTr="450ABE78">
        <w:trPr>
          <w:trHeight w:val="300"/>
        </w:trPr>
        <w:tc>
          <w:tcPr>
            <w:tcW w:w="1695" w:type="dxa"/>
            <w:vAlign w:val="center"/>
          </w:tcPr>
          <w:p w14:paraId="25D6B9A7" w14:textId="46C8EDC5" w:rsidR="450ABE78" w:rsidRDefault="450ABE78" w:rsidP="450ABE78">
            <w:pPr>
              <w:jc w:val="center"/>
            </w:pPr>
            <w:r>
              <w:t>NVDA</w:t>
            </w:r>
          </w:p>
        </w:tc>
        <w:tc>
          <w:tcPr>
            <w:tcW w:w="3670" w:type="dxa"/>
            <w:vAlign w:val="center"/>
          </w:tcPr>
          <w:p w14:paraId="0D071DB8" w14:textId="567CC475" w:rsidR="0506D288" w:rsidRDefault="0506D288" w:rsidP="450ABE78">
            <w:pPr>
              <w:jc w:val="center"/>
            </w:pPr>
            <w:r w:rsidRPr="450ABE78">
              <w:rPr>
                <w:rFonts w:ascii="system-ui" w:eastAsia="system-ui" w:hAnsi="system-ui" w:cs="system-ui"/>
                <w:sz w:val="19"/>
                <w:szCs w:val="19"/>
              </w:rPr>
              <w:t>0.036599</w:t>
            </w:r>
          </w:p>
        </w:tc>
        <w:tc>
          <w:tcPr>
            <w:tcW w:w="3995" w:type="dxa"/>
            <w:vAlign w:val="center"/>
          </w:tcPr>
          <w:p w14:paraId="6103E985" w14:textId="59403316" w:rsidR="6E03B99A" w:rsidRDefault="6E03B99A" w:rsidP="450ABE78">
            <w:pPr>
              <w:jc w:val="center"/>
            </w:pPr>
            <w:r w:rsidRPr="450ABE78">
              <w:rPr>
                <w:rFonts w:ascii="system-ui" w:eastAsia="system-ui" w:hAnsi="system-ui" w:cs="system-ui"/>
                <w:sz w:val="19"/>
                <w:szCs w:val="19"/>
              </w:rPr>
              <w:t>0.014415</w:t>
            </w:r>
          </w:p>
        </w:tc>
      </w:tr>
      <w:tr w:rsidR="450ABE78" w14:paraId="74ACDD0B" w14:textId="77777777" w:rsidTr="450ABE78">
        <w:trPr>
          <w:trHeight w:val="300"/>
        </w:trPr>
        <w:tc>
          <w:tcPr>
            <w:tcW w:w="1695" w:type="dxa"/>
            <w:vAlign w:val="center"/>
          </w:tcPr>
          <w:p w14:paraId="3C560920" w14:textId="54D36FC3" w:rsidR="450ABE78" w:rsidRDefault="450ABE78" w:rsidP="450ABE78">
            <w:pPr>
              <w:jc w:val="center"/>
            </w:pPr>
            <w:r>
              <w:t>XOM</w:t>
            </w:r>
          </w:p>
        </w:tc>
        <w:tc>
          <w:tcPr>
            <w:tcW w:w="3670" w:type="dxa"/>
            <w:vAlign w:val="center"/>
          </w:tcPr>
          <w:p w14:paraId="03D2F563" w14:textId="0720F2B1" w:rsidR="37C334F8" w:rsidRDefault="37C334F8" w:rsidP="450ABE78">
            <w:pPr>
              <w:jc w:val="center"/>
            </w:pPr>
            <w:r w:rsidRPr="450ABE78">
              <w:rPr>
                <w:rFonts w:ascii="system-ui" w:eastAsia="system-ui" w:hAnsi="system-ui" w:cs="system-ui"/>
                <w:sz w:val="19"/>
                <w:szCs w:val="19"/>
              </w:rPr>
              <w:t>0.001576</w:t>
            </w:r>
          </w:p>
        </w:tc>
        <w:tc>
          <w:tcPr>
            <w:tcW w:w="3995" w:type="dxa"/>
            <w:vAlign w:val="center"/>
          </w:tcPr>
          <w:p w14:paraId="246B9FF4" w14:textId="460A0A2E" w:rsidR="60C7C887" w:rsidRDefault="60C7C887" w:rsidP="450ABE78">
            <w:pPr>
              <w:jc w:val="center"/>
            </w:pPr>
            <w:r w:rsidRPr="450ABE78">
              <w:rPr>
                <w:rFonts w:ascii="system-ui" w:eastAsia="system-ui" w:hAnsi="system-ui" w:cs="system-ui"/>
                <w:sz w:val="19"/>
                <w:szCs w:val="19"/>
              </w:rPr>
              <w:t>0.888764</w:t>
            </w:r>
          </w:p>
        </w:tc>
      </w:tr>
      <w:tr w:rsidR="450ABE78" w14:paraId="31A27EBD" w14:textId="77777777" w:rsidTr="450ABE78">
        <w:trPr>
          <w:trHeight w:val="300"/>
        </w:trPr>
        <w:tc>
          <w:tcPr>
            <w:tcW w:w="1695" w:type="dxa"/>
            <w:vAlign w:val="center"/>
          </w:tcPr>
          <w:p w14:paraId="50AD98D5" w14:textId="3CC00B43" w:rsidR="450ABE78" w:rsidRDefault="450ABE78" w:rsidP="450ABE78">
            <w:pPr>
              <w:jc w:val="center"/>
            </w:pPr>
            <w:r>
              <w:t>COST</w:t>
            </w:r>
          </w:p>
        </w:tc>
        <w:tc>
          <w:tcPr>
            <w:tcW w:w="3670" w:type="dxa"/>
            <w:vAlign w:val="center"/>
          </w:tcPr>
          <w:p w14:paraId="43F70244" w14:textId="074E9F5A" w:rsidR="75870CE6" w:rsidRDefault="75870CE6" w:rsidP="450ABE78">
            <w:pPr>
              <w:jc w:val="center"/>
            </w:pPr>
            <w:r w:rsidRPr="450ABE78">
              <w:rPr>
                <w:rFonts w:ascii="system-ui" w:eastAsia="system-ui" w:hAnsi="system-ui" w:cs="system-ui"/>
                <w:sz w:val="19"/>
                <w:szCs w:val="19"/>
              </w:rPr>
              <w:t>0.010316</w:t>
            </w:r>
          </w:p>
        </w:tc>
        <w:tc>
          <w:tcPr>
            <w:tcW w:w="3995" w:type="dxa"/>
            <w:vAlign w:val="center"/>
          </w:tcPr>
          <w:p w14:paraId="1FC2B367" w14:textId="2DA472D4" w:rsidR="61153C8A" w:rsidRDefault="61153C8A" w:rsidP="450ABE78">
            <w:pPr>
              <w:jc w:val="center"/>
            </w:pPr>
            <w:r w:rsidRPr="450ABE78">
              <w:rPr>
                <w:rFonts w:ascii="system-ui" w:eastAsia="system-ui" w:hAnsi="system-ui" w:cs="system-ui"/>
                <w:sz w:val="19"/>
                <w:szCs w:val="19"/>
              </w:rPr>
              <w:t>0.123997</w:t>
            </w:r>
          </w:p>
        </w:tc>
      </w:tr>
      <w:tr w:rsidR="450ABE78" w14:paraId="5CBD2A5A" w14:textId="77777777" w:rsidTr="450ABE78">
        <w:trPr>
          <w:trHeight w:val="300"/>
        </w:trPr>
        <w:tc>
          <w:tcPr>
            <w:tcW w:w="1695" w:type="dxa"/>
            <w:vAlign w:val="center"/>
          </w:tcPr>
          <w:p w14:paraId="68669115" w14:textId="2F9DF4E2" w:rsidR="450ABE78" w:rsidRDefault="450ABE78" w:rsidP="450ABE78">
            <w:pPr>
              <w:jc w:val="center"/>
            </w:pPr>
            <w:r>
              <w:t>TSLA</w:t>
            </w:r>
          </w:p>
        </w:tc>
        <w:tc>
          <w:tcPr>
            <w:tcW w:w="3670" w:type="dxa"/>
            <w:vAlign w:val="center"/>
          </w:tcPr>
          <w:p w14:paraId="17A10550" w14:textId="085E1BEF" w:rsidR="5D5DB8D4" w:rsidRDefault="5D5DB8D4" w:rsidP="450ABE78">
            <w:pPr>
              <w:jc w:val="center"/>
            </w:pPr>
            <w:r w:rsidRPr="450ABE78">
              <w:rPr>
                <w:rFonts w:ascii="system-ui" w:eastAsia="system-ui" w:hAnsi="system-ui" w:cs="system-ui"/>
                <w:sz w:val="19"/>
                <w:szCs w:val="19"/>
              </w:rPr>
              <w:t>0.023145</w:t>
            </w:r>
          </w:p>
        </w:tc>
        <w:tc>
          <w:tcPr>
            <w:tcW w:w="3995" w:type="dxa"/>
            <w:vAlign w:val="center"/>
          </w:tcPr>
          <w:p w14:paraId="52271949" w14:textId="41328D9D" w:rsidR="5726046B" w:rsidRDefault="5726046B" w:rsidP="450ABE78">
            <w:pPr>
              <w:jc w:val="center"/>
            </w:pPr>
            <w:r w:rsidRPr="450ABE78">
              <w:rPr>
                <w:rFonts w:ascii="system-ui" w:eastAsia="system-ui" w:hAnsi="system-ui" w:cs="system-ui"/>
                <w:sz w:val="19"/>
                <w:szCs w:val="19"/>
              </w:rPr>
              <w:t>0.305774</w:t>
            </w:r>
          </w:p>
        </w:tc>
      </w:tr>
      <w:tr w:rsidR="450ABE78" w14:paraId="6E970E9A" w14:textId="77777777" w:rsidTr="450ABE78">
        <w:trPr>
          <w:trHeight w:val="300"/>
        </w:trPr>
        <w:tc>
          <w:tcPr>
            <w:tcW w:w="1695" w:type="dxa"/>
            <w:vAlign w:val="center"/>
          </w:tcPr>
          <w:p w14:paraId="56BCF872" w14:textId="57EC862A" w:rsidR="450ABE78" w:rsidRDefault="450ABE78" w:rsidP="450ABE78">
            <w:pPr>
              <w:jc w:val="center"/>
            </w:pPr>
            <w:r>
              <w:t>BRK-B</w:t>
            </w:r>
          </w:p>
        </w:tc>
        <w:tc>
          <w:tcPr>
            <w:tcW w:w="3670" w:type="dxa"/>
            <w:vAlign w:val="center"/>
          </w:tcPr>
          <w:p w14:paraId="7B0F2C19" w14:textId="38A6EBDD" w:rsidR="654F62CF" w:rsidRDefault="654F62CF" w:rsidP="450ABE78">
            <w:pPr>
              <w:jc w:val="center"/>
            </w:pPr>
            <w:r w:rsidRPr="450ABE78">
              <w:rPr>
                <w:rFonts w:ascii="system-ui" w:eastAsia="system-ui" w:hAnsi="system-ui" w:cs="system-ui"/>
                <w:sz w:val="19"/>
                <w:szCs w:val="19"/>
              </w:rPr>
              <w:t>0.002404</w:t>
            </w:r>
          </w:p>
        </w:tc>
        <w:tc>
          <w:tcPr>
            <w:tcW w:w="3995" w:type="dxa"/>
            <w:vAlign w:val="center"/>
          </w:tcPr>
          <w:p w14:paraId="556AB671" w14:textId="23A34280" w:rsidR="0F542CF4" w:rsidRDefault="0F542CF4" w:rsidP="450ABE78">
            <w:pPr>
              <w:jc w:val="center"/>
            </w:pPr>
            <w:r w:rsidRPr="450ABE78">
              <w:rPr>
                <w:rFonts w:ascii="system-ui" w:eastAsia="system-ui" w:hAnsi="system-ui" w:cs="system-ui"/>
                <w:sz w:val="19"/>
                <w:szCs w:val="19"/>
              </w:rPr>
              <w:t>0.627025</w:t>
            </w:r>
          </w:p>
        </w:tc>
      </w:tr>
      <w:tr w:rsidR="450ABE78" w14:paraId="23EC7A03" w14:textId="77777777" w:rsidTr="450ABE78">
        <w:trPr>
          <w:trHeight w:val="300"/>
        </w:trPr>
        <w:tc>
          <w:tcPr>
            <w:tcW w:w="1695" w:type="dxa"/>
            <w:vAlign w:val="center"/>
          </w:tcPr>
          <w:p w14:paraId="1F072BB0" w14:textId="0BFCAEAB" w:rsidR="450ABE78" w:rsidRDefault="450ABE78" w:rsidP="450ABE78">
            <w:pPr>
              <w:jc w:val="center"/>
            </w:pPr>
            <w:r>
              <w:t>JNJ</w:t>
            </w:r>
          </w:p>
        </w:tc>
        <w:tc>
          <w:tcPr>
            <w:tcW w:w="3670" w:type="dxa"/>
            <w:vAlign w:val="center"/>
          </w:tcPr>
          <w:p w14:paraId="4143F9B6" w14:textId="15092830" w:rsidR="6C4E5515" w:rsidRDefault="6C4E5515" w:rsidP="450ABE78">
            <w:pPr>
              <w:jc w:val="center"/>
            </w:pPr>
            <w:r w:rsidRPr="450ABE78">
              <w:rPr>
                <w:rFonts w:ascii="system-ui" w:eastAsia="system-ui" w:hAnsi="system-ui" w:cs="system-ui"/>
                <w:sz w:val="19"/>
                <w:szCs w:val="19"/>
              </w:rPr>
              <w:t>-0.000875</w:t>
            </w:r>
          </w:p>
        </w:tc>
        <w:tc>
          <w:tcPr>
            <w:tcW w:w="3995" w:type="dxa"/>
            <w:vAlign w:val="center"/>
          </w:tcPr>
          <w:p w14:paraId="5E8CECF3" w14:textId="5B9E8E1C" w:rsidR="3C1984E1" w:rsidRDefault="3C1984E1" w:rsidP="450ABE78">
            <w:pPr>
              <w:jc w:val="center"/>
            </w:pPr>
            <w:r w:rsidRPr="450ABE78">
              <w:rPr>
                <w:rFonts w:ascii="system-ui" w:eastAsia="system-ui" w:hAnsi="system-ui" w:cs="system-ui"/>
                <w:sz w:val="19"/>
                <w:szCs w:val="19"/>
              </w:rPr>
              <w:t>0.880213</w:t>
            </w:r>
          </w:p>
        </w:tc>
      </w:tr>
      <w:tr w:rsidR="450ABE78" w14:paraId="2D3AA94A" w14:textId="77777777" w:rsidTr="450ABE78">
        <w:trPr>
          <w:trHeight w:val="300"/>
        </w:trPr>
        <w:tc>
          <w:tcPr>
            <w:tcW w:w="1695" w:type="dxa"/>
            <w:vAlign w:val="center"/>
          </w:tcPr>
          <w:p w14:paraId="0645BCCA" w14:textId="720B0847" w:rsidR="450ABE78" w:rsidRDefault="450ABE78" w:rsidP="450ABE78">
            <w:pPr>
              <w:jc w:val="center"/>
            </w:pPr>
            <w:r>
              <w:t>JPM</w:t>
            </w:r>
          </w:p>
        </w:tc>
        <w:tc>
          <w:tcPr>
            <w:tcW w:w="3670" w:type="dxa"/>
            <w:vAlign w:val="center"/>
          </w:tcPr>
          <w:p w14:paraId="6CABDA3A" w14:textId="36ED5D8A" w:rsidR="0EFEE359" w:rsidRDefault="0EFEE359" w:rsidP="450ABE78">
            <w:pPr>
              <w:jc w:val="center"/>
            </w:pPr>
            <w:r w:rsidRPr="450ABE78">
              <w:rPr>
                <w:rFonts w:ascii="system-ui" w:eastAsia="system-ui" w:hAnsi="system-ui" w:cs="system-ui"/>
                <w:sz w:val="19"/>
                <w:szCs w:val="19"/>
              </w:rPr>
              <w:t>-0.001350</w:t>
            </w:r>
          </w:p>
        </w:tc>
        <w:tc>
          <w:tcPr>
            <w:tcW w:w="3995" w:type="dxa"/>
            <w:vAlign w:val="center"/>
          </w:tcPr>
          <w:p w14:paraId="031B4CDE" w14:textId="1C447E7C" w:rsidR="15A850FB" w:rsidRDefault="15A850FB" w:rsidP="450ABE78">
            <w:pPr>
              <w:jc w:val="center"/>
            </w:pPr>
            <w:r w:rsidRPr="450ABE78">
              <w:rPr>
                <w:rFonts w:ascii="system-ui" w:eastAsia="system-ui" w:hAnsi="system-ui" w:cs="system-ui"/>
                <w:sz w:val="19"/>
                <w:szCs w:val="19"/>
              </w:rPr>
              <w:t>0.849944</w:t>
            </w:r>
          </w:p>
        </w:tc>
      </w:tr>
      <w:tr w:rsidR="450ABE78" w14:paraId="43A21FDC" w14:textId="77777777" w:rsidTr="450ABE78">
        <w:trPr>
          <w:trHeight w:val="300"/>
        </w:trPr>
        <w:tc>
          <w:tcPr>
            <w:tcW w:w="1695" w:type="dxa"/>
            <w:vAlign w:val="center"/>
          </w:tcPr>
          <w:p w14:paraId="0F633634" w14:textId="0A812A34" w:rsidR="450ABE78" w:rsidRDefault="450ABE78" w:rsidP="450ABE78">
            <w:pPr>
              <w:jc w:val="center"/>
            </w:pPr>
            <w:r>
              <w:t>LMT</w:t>
            </w:r>
          </w:p>
        </w:tc>
        <w:tc>
          <w:tcPr>
            <w:tcW w:w="3670" w:type="dxa"/>
            <w:vAlign w:val="center"/>
          </w:tcPr>
          <w:p w14:paraId="4D3F6A4D" w14:textId="7CD4F1F2" w:rsidR="5719452C" w:rsidRDefault="5719452C" w:rsidP="450ABE78">
            <w:pPr>
              <w:jc w:val="center"/>
            </w:pPr>
            <w:r w:rsidRPr="450ABE78">
              <w:rPr>
                <w:rFonts w:ascii="system-ui" w:eastAsia="system-ui" w:hAnsi="system-ui" w:cs="system-ui"/>
                <w:sz w:val="19"/>
                <w:szCs w:val="19"/>
              </w:rPr>
              <w:t>0.002275</w:t>
            </w:r>
          </w:p>
        </w:tc>
        <w:tc>
          <w:tcPr>
            <w:tcW w:w="3995" w:type="dxa"/>
            <w:vAlign w:val="center"/>
          </w:tcPr>
          <w:p w14:paraId="43D7E90C" w14:textId="3A655FAB" w:rsidR="1307DB22" w:rsidRDefault="1307DB22" w:rsidP="450ABE78">
            <w:pPr>
              <w:jc w:val="center"/>
            </w:pPr>
            <w:r w:rsidRPr="450ABE78">
              <w:rPr>
                <w:rFonts w:ascii="system-ui" w:eastAsia="system-ui" w:hAnsi="system-ui" w:cs="system-ui"/>
                <w:sz w:val="19"/>
                <w:szCs w:val="19"/>
              </w:rPr>
              <w:t>0.777998</w:t>
            </w:r>
          </w:p>
        </w:tc>
      </w:tr>
      <w:tr w:rsidR="450ABE78" w14:paraId="483AA839" w14:textId="77777777" w:rsidTr="450ABE78">
        <w:trPr>
          <w:trHeight w:val="300"/>
        </w:trPr>
        <w:tc>
          <w:tcPr>
            <w:tcW w:w="1695" w:type="dxa"/>
            <w:vAlign w:val="center"/>
          </w:tcPr>
          <w:p w14:paraId="20557FDF" w14:textId="668742BE" w:rsidR="450ABE78" w:rsidRDefault="450ABE78" w:rsidP="450ABE78">
            <w:pPr>
              <w:jc w:val="center"/>
            </w:pPr>
            <w:r>
              <w:t>FIX</w:t>
            </w:r>
          </w:p>
        </w:tc>
        <w:tc>
          <w:tcPr>
            <w:tcW w:w="3670" w:type="dxa"/>
            <w:vAlign w:val="center"/>
          </w:tcPr>
          <w:p w14:paraId="2514FE84" w14:textId="1B314182" w:rsidR="7783FEAB" w:rsidRDefault="7783FEAB" w:rsidP="450ABE78">
            <w:pPr>
              <w:jc w:val="center"/>
            </w:pPr>
            <w:r w:rsidRPr="450ABE78">
              <w:rPr>
                <w:rFonts w:ascii="system-ui" w:eastAsia="system-ui" w:hAnsi="system-ui" w:cs="system-ui"/>
                <w:sz w:val="19"/>
                <w:szCs w:val="19"/>
              </w:rPr>
              <w:t>0.023830</w:t>
            </w:r>
          </w:p>
        </w:tc>
        <w:tc>
          <w:tcPr>
            <w:tcW w:w="3995" w:type="dxa"/>
            <w:vAlign w:val="center"/>
          </w:tcPr>
          <w:p w14:paraId="4E3E1146" w14:textId="6C0708A4" w:rsidR="31CCCC11" w:rsidRDefault="31CCCC11" w:rsidP="450ABE78">
            <w:pPr>
              <w:jc w:val="center"/>
            </w:pPr>
            <w:r w:rsidRPr="450ABE78">
              <w:rPr>
                <w:rFonts w:ascii="system-ui" w:eastAsia="system-ui" w:hAnsi="system-ui" w:cs="system-ui"/>
                <w:sz w:val="19"/>
                <w:szCs w:val="19"/>
              </w:rPr>
              <w:t>0.030239</w:t>
            </w:r>
          </w:p>
        </w:tc>
      </w:tr>
    </w:tbl>
    <w:p w14:paraId="273B7A08" w14:textId="7FD581E3" w:rsidR="42F0AB01" w:rsidRDefault="42F0AB01" w:rsidP="450ABE78"/>
    <w:p w14:paraId="217DD42C" w14:textId="636365ED" w:rsidR="42F0AB01" w:rsidRDefault="1EAFEE23" w:rsidP="450ABE78">
      <w:r>
        <w:t>Out of 10 stocks in our portfolio, only two stocks have statistically significant alpha: NVDA and FIX</w:t>
      </w:r>
      <w:r w:rsidR="35EA24F7">
        <w:t xml:space="preserve">, meaning these are the only two stocks that outperform the predictions by factors consistently. </w:t>
      </w:r>
      <w:r w:rsidR="7BA46D5D">
        <w:t xml:space="preserve">Furthermore, the </w:t>
      </w:r>
      <w:proofErr w:type="spellStart"/>
      <w:r w:rsidR="7BA46D5D">
        <w:t>aphas</w:t>
      </w:r>
      <w:proofErr w:type="spellEnd"/>
      <w:r w:rsidR="7BA46D5D">
        <w:t xml:space="preserve"> of FIX and NVDA are both </w:t>
      </w:r>
      <w:r w:rsidR="53ACF61D">
        <w:t xml:space="preserve">significant in value </w:t>
      </w:r>
      <w:r w:rsidR="75850FCE">
        <w:t>(around 2.</w:t>
      </w:r>
      <w:r w:rsidR="202B2362">
        <w:t>4</w:t>
      </w:r>
      <w:r w:rsidR="75850FCE">
        <w:t>% and 3.</w:t>
      </w:r>
      <w:r w:rsidR="4DAC996E">
        <w:t>7</w:t>
      </w:r>
      <w:r w:rsidR="75850FCE">
        <w:t>% respectively).</w:t>
      </w:r>
      <w:r w:rsidR="39A8B322">
        <w:t xml:space="preserve"> </w:t>
      </w:r>
      <w:r w:rsidR="41C28C4D">
        <w:t xml:space="preserve">The </w:t>
      </w:r>
      <w:r w:rsidR="43AD5830">
        <w:t>significant alphas of NVDA and FIX could be explained by a</w:t>
      </w:r>
      <w:r w:rsidR="38B11C25">
        <w:t xml:space="preserve"> combination of sector trends, management quality and competitive positioning. </w:t>
      </w:r>
    </w:p>
    <w:p w14:paraId="6E817FDF" w14:textId="41465005" w:rsidR="758E3E5D" w:rsidRDefault="758E3E5D" w:rsidP="5DF78D76">
      <w:r>
        <w:t xml:space="preserve">While AAPL (Apple) and TSLA (Tesla) have shown remarkable growth in absolute terms over the last two years, their alphas are not statistically significant (p-values of 0.1642 and 0.3058, respectively). This implies that their strong returns can be largely attributed to their market exposure (beta), rather than consistent outperformance over CAPM predictions.  </w:t>
      </w:r>
    </w:p>
    <w:p w14:paraId="10B442DA" w14:textId="423979A2" w:rsidR="00232228" w:rsidRDefault="67B61B36" w:rsidP="450ABE78">
      <w:pPr>
        <w:spacing w:after="0"/>
        <w:rPr>
          <w:rFonts w:ascii="Aptos" w:eastAsia="Aptos" w:hAnsi="Aptos" w:cs="Aptos"/>
        </w:rPr>
      </w:pPr>
      <w:r w:rsidRPr="450ABE78">
        <w:rPr>
          <w:rFonts w:ascii="Aptos" w:eastAsia="Aptos" w:hAnsi="Aptos" w:cs="Aptos"/>
          <w:b/>
          <w:bCs/>
        </w:rPr>
        <w:t>XOM</w:t>
      </w:r>
      <w:r w:rsidRPr="450ABE78">
        <w:rPr>
          <w:rFonts w:ascii="Aptos" w:eastAsia="Aptos" w:hAnsi="Aptos" w:cs="Aptos"/>
        </w:rPr>
        <w:t xml:space="preserve"> (Exxon Mobil), despite being a strong performer during energy price surges, has an insignificant alpha, indicating its performance aligns closely with CAPM predictions. Defensive stocks like </w:t>
      </w:r>
      <w:r w:rsidRPr="450ABE78">
        <w:rPr>
          <w:rFonts w:ascii="Aptos" w:eastAsia="Aptos" w:hAnsi="Aptos" w:cs="Aptos"/>
          <w:b/>
          <w:bCs/>
        </w:rPr>
        <w:t>JNJ</w:t>
      </w:r>
      <w:r w:rsidRPr="450ABE78">
        <w:rPr>
          <w:rFonts w:ascii="Aptos" w:eastAsia="Aptos" w:hAnsi="Aptos" w:cs="Aptos"/>
        </w:rPr>
        <w:t xml:space="preserve"> (Johnson &amp; Johnson) and </w:t>
      </w:r>
      <w:r w:rsidRPr="450ABE78">
        <w:rPr>
          <w:rFonts w:ascii="Aptos" w:eastAsia="Aptos" w:hAnsi="Aptos" w:cs="Aptos"/>
          <w:b/>
          <w:bCs/>
        </w:rPr>
        <w:t>LMT</w:t>
      </w:r>
      <w:r w:rsidRPr="450ABE78">
        <w:rPr>
          <w:rFonts w:ascii="Aptos" w:eastAsia="Aptos" w:hAnsi="Aptos" w:cs="Aptos"/>
        </w:rPr>
        <w:t xml:space="preserve"> (Lockheed Martin) have low betas (</w:t>
      </w:r>
      <w:r w:rsidRPr="450ABE78">
        <w:rPr>
          <w:rFonts w:ascii="Aptos" w:eastAsia="Aptos" w:hAnsi="Aptos" w:cs="Aptos"/>
          <w:b/>
          <w:bCs/>
        </w:rPr>
        <w:t>0.48</w:t>
      </w:r>
      <w:r w:rsidRPr="450ABE78">
        <w:rPr>
          <w:rFonts w:ascii="Aptos" w:eastAsia="Aptos" w:hAnsi="Aptos" w:cs="Aptos"/>
        </w:rPr>
        <w:t xml:space="preserve"> and </w:t>
      </w:r>
      <w:r w:rsidRPr="450ABE78">
        <w:rPr>
          <w:rFonts w:ascii="Aptos" w:eastAsia="Aptos" w:hAnsi="Aptos" w:cs="Aptos"/>
          <w:b/>
          <w:bCs/>
        </w:rPr>
        <w:t>0.45</w:t>
      </w:r>
      <w:r w:rsidRPr="450ABE78">
        <w:rPr>
          <w:rFonts w:ascii="Aptos" w:eastAsia="Aptos" w:hAnsi="Aptos" w:cs="Aptos"/>
        </w:rPr>
        <w:t>, respectively) and negligible alphas, reflecting their role as stable, low-risk investments.</w:t>
      </w:r>
    </w:p>
    <w:p w14:paraId="5BA4C540" w14:textId="233E30B8" w:rsidR="450ABE78" w:rsidRDefault="450ABE78" w:rsidP="450ABE78">
      <w:pPr>
        <w:spacing w:after="0"/>
        <w:rPr>
          <w:rFonts w:ascii="Aptos" w:eastAsia="Aptos" w:hAnsi="Aptos" w:cs="Aptos"/>
        </w:rPr>
      </w:pPr>
    </w:p>
    <w:p w14:paraId="2A071299" w14:textId="70EC0044" w:rsidR="24B367F6" w:rsidRDefault="545BD9C4" w:rsidP="450ABE78">
      <w:pPr>
        <w:pStyle w:val="ListParagraph"/>
        <w:numPr>
          <w:ilvl w:val="0"/>
          <w:numId w:val="2"/>
        </w:numPr>
        <w:rPr>
          <w:b/>
          <w:bCs/>
        </w:rPr>
      </w:pPr>
      <w:r w:rsidRPr="450ABE78">
        <w:rPr>
          <w:b/>
          <w:bCs/>
        </w:rPr>
        <w:t>Discuss how new factors affect alpha</w:t>
      </w:r>
    </w:p>
    <w:tbl>
      <w:tblPr>
        <w:tblStyle w:val="TableGrid"/>
        <w:tblW w:w="0" w:type="auto"/>
        <w:tblLook w:val="06A0" w:firstRow="1" w:lastRow="0" w:firstColumn="1" w:lastColumn="0" w:noHBand="1" w:noVBand="1"/>
      </w:tblPr>
      <w:tblGrid>
        <w:gridCol w:w="1694"/>
        <w:gridCol w:w="3666"/>
        <w:gridCol w:w="3990"/>
      </w:tblGrid>
      <w:tr w:rsidR="450ABE78" w14:paraId="30798DC0" w14:textId="77777777" w:rsidTr="450ABE78">
        <w:trPr>
          <w:trHeight w:val="300"/>
        </w:trPr>
        <w:tc>
          <w:tcPr>
            <w:tcW w:w="1695" w:type="dxa"/>
            <w:vAlign w:val="center"/>
          </w:tcPr>
          <w:p w14:paraId="4B557EAC" w14:textId="05EBFF86" w:rsidR="450ABE78" w:rsidRDefault="450ABE78" w:rsidP="450ABE78">
            <w:pPr>
              <w:jc w:val="center"/>
              <w:rPr>
                <w:b/>
                <w:bCs/>
              </w:rPr>
            </w:pPr>
            <w:r w:rsidRPr="450ABE78">
              <w:rPr>
                <w:b/>
                <w:bCs/>
              </w:rPr>
              <w:t>Stock</w:t>
            </w:r>
          </w:p>
        </w:tc>
        <w:tc>
          <w:tcPr>
            <w:tcW w:w="3670" w:type="dxa"/>
            <w:vAlign w:val="center"/>
          </w:tcPr>
          <w:p w14:paraId="561925F3" w14:textId="4F3A5E23" w:rsidR="1D99597A" w:rsidRDefault="1D99597A" w:rsidP="450ABE78">
            <w:pPr>
              <w:jc w:val="center"/>
              <w:rPr>
                <w:b/>
                <w:bCs/>
              </w:rPr>
            </w:pPr>
            <w:r w:rsidRPr="450ABE78">
              <w:rPr>
                <w:b/>
                <w:bCs/>
              </w:rPr>
              <w:t>4-</w:t>
            </w:r>
            <w:r w:rsidR="014C79C7" w:rsidRPr="450ABE78">
              <w:rPr>
                <w:b/>
                <w:bCs/>
              </w:rPr>
              <w:t>F</w:t>
            </w:r>
            <w:r w:rsidRPr="450ABE78">
              <w:rPr>
                <w:b/>
                <w:bCs/>
              </w:rPr>
              <w:t xml:space="preserve">actor </w:t>
            </w:r>
            <w:r w:rsidR="450ABE78" w:rsidRPr="450ABE78">
              <w:rPr>
                <w:b/>
                <w:bCs/>
              </w:rPr>
              <w:t>alpha</w:t>
            </w:r>
          </w:p>
        </w:tc>
        <w:tc>
          <w:tcPr>
            <w:tcW w:w="3995" w:type="dxa"/>
            <w:vAlign w:val="center"/>
          </w:tcPr>
          <w:p w14:paraId="6FD66A8F" w14:textId="3350393E" w:rsidR="5F3D72CF" w:rsidRDefault="5F3D72CF" w:rsidP="450ABE78">
            <w:pPr>
              <w:jc w:val="center"/>
              <w:rPr>
                <w:b/>
                <w:bCs/>
              </w:rPr>
            </w:pPr>
            <w:r w:rsidRPr="450ABE78">
              <w:rPr>
                <w:b/>
                <w:bCs/>
              </w:rPr>
              <w:t>4-</w:t>
            </w:r>
            <w:r w:rsidR="72014F8B" w:rsidRPr="450ABE78">
              <w:rPr>
                <w:b/>
                <w:bCs/>
              </w:rPr>
              <w:t>F</w:t>
            </w:r>
            <w:r w:rsidRPr="450ABE78">
              <w:rPr>
                <w:b/>
                <w:bCs/>
              </w:rPr>
              <w:t xml:space="preserve">actor </w:t>
            </w:r>
            <w:r w:rsidR="450ABE78" w:rsidRPr="450ABE78">
              <w:rPr>
                <w:b/>
                <w:bCs/>
              </w:rPr>
              <w:t>alpha p-value</w:t>
            </w:r>
          </w:p>
        </w:tc>
      </w:tr>
      <w:tr w:rsidR="450ABE78" w14:paraId="72E005E4" w14:textId="77777777" w:rsidTr="450ABE78">
        <w:trPr>
          <w:trHeight w:val="300"/>
        </w:trPr>
        <w:tc>
          <w:tcPr>
            <w:tcW w:w="1695" w:type="dxa"/>
            <w:vAlign w:val="center"/>
          </w:tcPr>
          <w:p w14:paraId="0282539B" w14:textId="399C536C" w:rsidR="450ABE78" w:rsidRDefault="450ABE78" w:rsidP="450ABE78">
            <w:pPr>
              <w:jc w:val="center"/>
            </w:pPr>
            <w:r>
              <w:t>AAPL</w:t>
            </w:r>
          </w:p>
        </w:tc>
        <w:tc>
          <w:tcPr>
            <w:tcW w:w="3670" w:type="dxa"/>
            <w:vAlign w:val="center"/>
          </w:tcPr>
          <w:p w14:paraId="4A583EB1" w14:textId="40B7A74B" w:rsidR="1D3500F4" w:rsidRDefault="1D3500F4" w:rsidP="450ABE78">
            <w:pPr>
              <w:jc w:val="center"/>
            </w:pPr>
            <w:r w:rsidRPr="450ABE78">
              <w:rPr>
                <w:rFonts w:ascii="system-ui" w:eastAsia="system-ui" w:hAnsi="system-ui" w:cs="system-ui"/>
                <w:sz w:val="19"/>
                <w:szCs w:val="19"/>
              </w:rPr>
              <w:t>0.009608</w:t>
            </w:r>
          </w:p>
        </w:tc>
        <w:tc>
          <w:tcPr>
            <w:tcW w:w="3995" w:type="dxa"/>
            <w:vAlign w:val="center"/>
          </w:tcPr>
          <w:p w14:paraId="68DC33F0" w14:textId="62B45721" w:rsidR="55ED2552" w:rsidRDefault="55ED2552" w:rsidP="450ABE78">
            <w:pPr>
              <w:jc w:val="center"/>
            </w:pPr>
            <w:r w:rsidRPr="450ABE78">
              <w:rPr>
                <w:rFonts w:ascii="system-ui" w:eastAsia="system-ui" w:hAnsi="system-ui" w:cs="system-ui"/>
                <w:sz w:val="19"/>
                <w:szCs w:val="19"/>
              </w:rPr>
              <w:t>0.145391</w:t>
            </w:r>
          </w:p>
        </w:tc>
      </w:tr>
      <w:tr w:rsidR="450ABE78" w14:paraId="07C19F99" w14:textId="77777777" w:rsidTr="450ABE78">
        <w:trPr>
          <w:trHeight w:val="300"/>
        </w:trPr>
        <w:tc>
          <w:tcPr>
            <w:tcW w:w="1695" w:type="dxa"/>
            <w:vAlign w:val="center"/>
          </w:tcPr>
          <w:p w14:paraId="66A7E571" w14:textId="46C8EDC5" w:rsidR="450ABE78" w:rsidRDefault="450ABE78" w:rsidP="450ABE78">
            <w:pPr>
              <w:jc w:val="center"/>
            </w:pPr>
            <w:r>
              <w:lastRenderedPageBreak/>
              <w:t>NVDA</w:t>
            </w:r>
          </w:p>
        </w:tc>
        <w:tc>
          <w:tcPr>
            <w:tcW w:w="3670" w:type="dxa"/>
            <w:vAlign w:val="center"/>
          </w:tcPr>
          <w:p w14:paraId="6F27B6EA" w14:textId="1C91E3A2" w:rsidR="5AD74341" w:rsidRDefault="5AD74341" w:rsidP="450ABE78">
            <w:pPr>
              <w:jc w:val="center"/>
            </w:pPr>
            <w:r w:rsidRPr="450ABE78">
              <w:rPr>
                <w:rFonts w:ascii="system-ui" w:eastAsia="system-ui" w:hAnsi="system-ui" w:cs="system-ui"/>
                <w:sz w:val="19"/>
                <w:szCs w:val="19"/>
              </w:rPr>
              <w:t>0.035367</w:t>
            </w:r>
          </w:p>
        </w:tc>
        <w:tc>
          <w:tcPr>
            <w:tcW w:w="3995" w:type="dxa"/>
            <w:vAlign w:val="center"/>
          </w:tcPr>
          <w:p w14:paraId="7172DC90" w14:textId="7B5F0563" w:rsidR="3C4440A6" w:rsidRDefault="3C4440A6" w:rsidP="450ABE78">
            <w:pPr>
              <w:jc w:val="center"/>
            </w:pPr>
            <w:r w:rsidRPr="450ABE78">
              <w:rPr>
                <w:rFonts w:ascii="system-ui" w:eastAsia="system-ui" w:hAnsi="system-ui" w:cs="system-ui"/>
                <w:sz w:val="19"/>
                <w:szCs w:val="19"/>
              </w:rPr>
              <w:t>0.007266</w:t>
            </w:r>
          </w:p>
        </w:tc>
      </w:tr>
      <w:tr w:rsidR="450ABE78" w14:paraId="4D59007F" w14:textId="77777777" w:rsidTr="450ABE78">
        <w:trPr>
          <w:trHeight w:val="300"/>
        </w:trPr>
        <w:tc>
          <w:tcPr>
            <w:tcW w:w="1695" w:type="dxa"/>
            <w:vAlign w:val="center"/>
          </w:tcPr>
          <w:p w14:paraId="6961639C" w14:textId="54D36FC3" w:rsidR="450ABE78" w:rsidRDefault="450ABE78" w:rsidP="450ABE78">
            <w:pPr>
              <w:jc w:val="center"/>
            </w:pPr>
            <w:r>
              <w:t>XOM</w:t>
            </w:r>
          </w:p>
        </w:tc>
        <w:tc>
          <w:tcPr>
            <w:tcW w:w="3670" w:type="dxa"/>
            <w:vAlign w:val="center"/>
          </w:tcPr>
          <w:p w14:paraId="6ABDD93D" w14:textId="6BAD6622" w:rsidR="3A2DB585" w:rsidRDefault="3A2DB585" w:rsidP="450ABE78">
            <w:pPr>
              <w:jc w:val="center"/>
            </w:pPr>
            <w:r w:rsidRPr="450ABE78">
              <w:rPr>
                <w:rFonts w:ascii="system-ui" w:eastAsia="system-ui" w:hAnsi="system-ui" w:cs="system-ui"/>
                <w:sz w:val="19"/>
                <w:szCs w:val="19"/>
              </w:rPr>
              <w:t>0.003010</w:t>
            </w:r>
          </w:p>
        </w:tc>
        <w:tc>
          <w:tcPr>
            <w:tcW w:w="3995" w:type="dxa"/>
            <w:vAlign w:val="center"/>
          </w:tcPr>
          <w:p w14:paraId="7D5D9940" w14:textId="433CC1FA" w:rsidR="5F9E1C2B" w:rsidRDefault="5F9E1C2B" w:rsidP="450ABE78">
            <w:pPr>
              <w:jc w:val="center"/>
            </w:pPr>
            <w:r w:rsidRPr="450ABE78">
              <w:rPr>
                <w:rFonts w:ascii="system-ui" w:eastAsia="system-ui" w:hAnsi="system-ui" w:cs="system-ui"/>
                <w:sz w:val="19"/>
                <w:szCs w:val="19"/>
              </w:rPr>
              <w:t>0.737819</w:t>
            </w:r>
          </w:p>
        </w:tc>
      </w:tr>
      <w:tr w:rsidR="450ABE78" w14:paraId="6A8FD0B9" w14:textId="77777777" w:rsidTr="450ABE78">
        <w:trPr>
          <w:trHeight w:val="300"/>
        </w:trPr>
        <w:tc>
          <w:tcPr>
            <w:tcW w:w="1695" w:type="dxa"/>
            <w:vAlign w:val="center"/>
          </w:tcPr>
          <w:p w14:paraId="37E8183A" w14:textId="3CC00B43" w:rsidR="450ABE78" w:rsidRDefault="450ABE78" w:rsidP="450ABE78">
            <w:pPr>
              <w:jc w:val="center"/>
            </w:pPr>
            <w:r>
              <w:t>COST</w:t>
            </w:r>
          </w:p>
        </w:tc>
        <w:tc>
          <w:tcPr>
            <w:tcW w:w="3670" w:type="dxa"/>
            <w:vAlign w:val="center"/>
          </w:tcPr>
          <w:p w14:paraId="029CF9D2" w14:textId="264499E0" w:rsidR="6E27AB59" w:rsidRDefault="6E27AB59" w:rsidP="450ABE78">
            <w:pPr>
              <w:jc w:val="center"/>
            </w:pPr>
            <w:r w:rsidRPr="450ABE78">
              <w:rPr>
                <w:rFonts w:ascii="system-ui" w:eastAsia="system-ui" w:hAnsi="system-ui" w:cs="system-ui"/>
                <w:sz w:val="19"/>
                <w:szCs w:val="19"/>
              </w:rPr>
              <w:t>0.009776</w:t>
            </w:r>
          </w:p>
        </w:tc>
        <w:tc>
          <w:tcPr>
            <w:tcW w:w="3995" w:type="dxa"/>
            <w:vAlign w:val="center"/>
          </w:tcPr>
          <w:p w14:paraId="510E5D98" w14:textId="377A8C09" w:rsidR="3FFC30D0" w:rsidRDefault="3FFC30D0" w:rsidP="450ABE78">
            <w:pPr>
              <w:jc w:val="center"/>
            </w:pPr>
            <w:r w:rsidRPr="450ABE78">
              <w:rPr>
                <w:rFonts w:ascii="system-ui" w:eastAsia="system-ui" w:hAnsi="system-ui" w:cs="system-ui"/>
                <w:sz w:val="19"/>
                <w:szCs w:val="19"/>
              </w:rPr>
              <w:t>0.113690</w:t>
            </w:r>
          </w:p>
        </w:tc>
      </w:tr>
      <w:tr w:rsidR="450ABE78" w14:paraId="7D894479" w14:textId="77777777" w:rsidTr="450ABE78">
        <w:trPr>
          <w:trHeight w:val="300"/>
        </w:trPr>
        <w:tc>
          <w:tcPr>
            <w:tcW w:w="1695" w:type="dxa"/>
            <w:vAlign w:val="center"/>
          </w:tcPr>
          <w:p w14:paraId="61695E5D" w14:textId="2F9DF4E2" w:rsidR="450ABE78" w:rsidRDefault="450ABE78" w:rsidP="450ABE78">
            <w:pPr>
              <w:jc w:val="center"/>
            </w:pPr>
            <w:r>
              <w:t>TSLA</w:t>
            </w:r>
          </w:p>
        </w:tc>
        <w:tc>
          <w:tcPr>
            <w:tcW w:w="3670" w:type="dxa"/>
            <w:vAlign w:val="center"/>
          </w:tcPr>
          <w:p w14:paraId="5D74E163" w14:textId="53030A74" w:rsidR="099682EC" w:rsidRDefault="099682EC" w:rsidP="450ABE78">
            <w:pPr>
              <w:jc w:val="center"/>
            </w:pPr>
            <w:r w:rsidRPr="450ABE78">
              <w:rPr>
                <w:rFonts w:ascii="system-ui" w:eastAsia="system-ui" w:hAnsi="system-ui" w:cs="system-ui"/>
                <w:sz w:val="19"/>
                <w:szCs w:val="19"/>
              </w:rPr>
              <w:t>0.026976</w:t>
            </w:r>
          </w:p>
        </w:tc>
        <w:tc>
          <w:tcPr>
            <w:tcW w:w="3995" w:type="dxa"/>
            <w:vAlign w:val="center"/>
          </w:tcPr>
          <w:p w14:paraId="316F9986" w14:textId="74D1B500" w:rsidR="4B09109F" w:rsidRDefault="4B09109F" w:rsidP="450ABE78">
            <w:pPr>
              <w:jc w:val="center"/>
            </w:pPr>
            <w:r w:rsidRPr="450ABE78">
              <w:rPr>
                <w:rFonts w:ascii="system-ui" w:eastAsia="system-ui" w:hAnsi="system-ui" w:cs="system-ui"/>
                <w:sz w:val="19"/>
                <w:szCs w:val="19"/>
              </w:rPr>
              <w:t>0.190960</w:t>
            </w:r>
          </w:p>
        </w:tc>
      </w:tr>
      <w:tr w:rsidR="450ABE78" w14:paraId="65EF5C3A" w14:textId="77777777" w:rsidTr="450ABE78">
        <w:trPr>
          <w:trHeight w:val="300"/>
        </w:trPr>
        <w:tc>
          <w:tcPr>
            <w:tcW w:w="1695" w:type="dxa"/>
            <w:vAlign w:val="center"/>
          </w:tcPr>
          <w:p w14:paraId="4E73D00A" w14:textId="57EC862A" w:rsidR="450ABE78" w:rsidRDefault="450ABE78" w:rsidP="450ABE78">
            <w:pPr>
              <w:jc w:val="center"/>
            </w:pPr>
            <w:r>
              <w:t>BRK-B</w:t>
            </w:r>
          </w:p>
        </w:tc>
        <w:tc>
          <w:tcPr>
            <w:tcW w:w="3670" w:type="dxa"/>
            <w:vAlign w:val="center"/>
          </w:tcPr>
          <w:p w14:paraId="1DA91151" w14:textId="1A0F7E37" w:rsidR="35EC90D2" w:rsidRDefault="35EC90D2" w:rsidP="450ABE78">
            <w:pPr>
              <w:jc w:val="center"/>
            </w:pPr>
            <w:r w:rsidRPr="450ABE78">
              <w:rPr>
                <w:rFonts w:ascii="system-ui" w:eastAsia="system-ui" w:hAnsi="system-ui" w:cs="system-ui"/>
                <w:sz w:val="19"/>
                <w:szCs w:val="19"/>
              </w:rPr>
              <w:t>0.001264</w:t>
            </w:r>
          </w:p>
        </w:tc>
        <w:tc>
          <w:tcPr>
            <w:tcW w:w="3995" w:type="dxa"/>
            <w:vAlign w:val="center"/>
          </w:tcPr>
          <w:p w14:paraId="11853FA6" w14:textId="5ED7B606" w:rsidR="0C240891" w:rsidRDefault="0C240891" w:rsidP="450ABE78">
            <w:pPr>
              <w:jc w:val="center"/>
            </w:pPr>
            <w:r w:rsidRPr="450ABE78">
              <w:rPr>
                <w:rFonts w:ascii="system-ui" w:eastAsia="system-ui" w:hAnsi="system-ui" w:cs="system-ui"/>
                <w:sz w:val="19"/>
                <w:szCs w:val="19"/>
              </w:rPr>
              <w:t>0.773417</w:t>
            </w:r>
          </w:p>
        </w:tc>
      </w:tr>
      <w:tr w:rsidR="450ABE78" w14:paraId="19537882" w14:textId="77777777" w:rsidTr="450ABE78">
        <w:trPr>
          <w:trHeight w:val="300"/>
        </w:trPr>
        <w:tc>
          <w:tcPr>
            <w:tcW w:w="1695" w:type="dxa"/>
            <w:vAlign w:val="center"/>
          </w:tcPr>
          <w:p w14:paraId="0F946149" w14:textId="0BFCAEAB" w:rsidR="450ABE78" w:rsidRDefault="450ABE78" w:rsidP="450ABE78">
            <w:pPr>
              <w:jc w:val="center"/>
            </w:pPr>
            <w:r>
              <w:t>JNJ</w:t>
            </w:r>
          </w:p>
        </w:tc>
        <w:tc>
          <w:tcPr>
            <w:tcW w:w="3670" w:type="dxa"/>
            <w:vAlign w:val="center"/>
          </w:tcPr>
          <w:p w14:paraId="2D73725A" w14:textId="379C7E37" w:rsidR="2EECBB2E" w:rsidRDefault="2EECBB2E" w:rsidP="450ABE78">
            <w:pPr>
              <w:jc w:val="center"/>
            </w:pPr>
            <w:r w:rsidRPr="450ABE78">
              <w:rPr>
                <w:rFonts w:ascii="system-ui" w:eastAsia="system-ui" w:hAnsi="system-ui" w:cs="system-ui"/>
                <w:sz w:val="19"/>
                <w:szCs w:val="19"/>
              </w:rPr>
              <w:t>-0.001957</w:t>
            </w:r>
          </w:p>
        </w:tc>
        <w:tc>
          <w:tcPr>
            <w:tcW w:w="3995" w:type="dxa"/>
            <w:vAlign w:val="center"/>
          </w:tcPr>
          <w:p w14:paraId="461663DD" w14:textId="4ECAD037" w:rsidR="61B75D8D" w:rsidRDefault="61B75D8D" w:rsidP="450ABE78">
            <w:pPr>
              <w:jc w:val="center"/>
            </w:pPr>
            <w:r w:rsidRPr="450ABE78">
              <w:rPr>
                <w:rFonts w:ascii="system-ui" w:eastAsia="system-ui" w:hAnsi="system-ui" w:cs="system-ui"/>
                <w:sz w:val="19"/>
                <w:szCs w:val="19"/>
              </w:rPr>
              <w:t>0.731809</w:t>
            </w:r>
          </w:p>
        </w:tc>
      </w:tr>
      <w:tr w:rsidR="450ABE78" w14:paraId="57B8357E" w14:textId="77777777" w:rsidTr="450ABE78">
        <w:trPr>
          <w:trHeight w:val="300"/>
        </w:trPr>
        <w:tc>
          <w:tcPr>
            <w:tcW w:w="1695" w:type="dxa"/>
            <w:vAlign w:val="center"/>
          </w:tcPr>
          <w:p w14:paraId="2B048BF0" w14:textId="720B0847" w:rsidR="450ABE78" w:rsidRDefault="450ABE78" w:rsidP="450ABE78">
            <w:pPr>
              <w:jc w:val="center"/>
            </w:pPr>
            <w:r>
              <w:t>JPM</w:t>
            </w:r>
          </w:p>
        </w:tc>
        <w:tc>
          <w:tcPr>
            <w:tcW w:w="3670" w:type="dxa"/>
            <w:vAlign w:val="center"/>
          </w:tcPr>
          <w:p w14:paraId="60E306C5" w14:textId="331CE64B" w:rsidR="4815AC07" w:rsidRDefault="4815AC07" w:rsidP="450ABE78">
            <w:pPr>
              <w:jc w:val="center"/>
            </w:pPr>
            <w:r w:rsidRPr="450ABE78">
              <w:rPr>
                <w:rFonts w:ascii="system-ui" w:eastAsia="system-ui" w:hAnsi="system-ui" w:cs="system-ui"/>
                <w:sz w:val="19"/>
                <w:szCs w:val="19"/>
              </w:rPr>
              <w:t>-0.000119</w:t>
            </w:r>
          </w:p>
        </w:tc>
        <w:tc>
          <w:tcPr>
            <w:tcW w:w="3995" w:type="dxa"/>
            <w:vAlign w:val="center"/>
          </w:tcPr>
          <w:p w14:paraId="4079BE83" w14:textId="670516EB" w:rsidR="327C2737" w:rsidRDefault="327C2737" w:rsidP="450ABE78">
            <w:pPr>
              <w:jc w:val="center"/>
            </w:pPr>
            <w:r w:rsidRPr="450ABE78">
              <w:rPr>
                <w:rFonts w:ascii="system-ui" w:eastAsia="system-ui" w:hAnsi="system-ui" w:cs="system-ui"/>
                <w:sz w:val="19"/>
                <w:szCs w:val="19"/>
              </w:rPr>
              <w:t>0.981896</w:t>
            </w:r>
          </w:p>
        </w:tc>
      </w:tr>
      <w:tr w:rsidR="450ABE78" w14:paraId="3D4E3873" w14:textId="77777777" w:rsidTr="450ABE78">
        <w:trPr>
          <w:trHeight w:val="300"/>
        </w:trPr>
        <w:tc>
          <w:tcPr>
            <w:tcW w:w="1695" w:type="dxa"/>
            <w:vAlign w:val="center"/>
          </w:tcPr>
          <w:p w14:paraId="3AEED90C" w14:textId="0A812A34" w:rsidR="450ABE78" w:rsidRDefault="450ABE78" w:rsidP="450ABE78">
            <w:pPr>
              <w:jc w:val="center"/>
            </w:pPr>
            <w:r>
              <w:t>LMT</w:t>
            </w:r>
          </w:p>
        </w:tc>
        <w:tc>
          <w:tcPr>
            <w:tcW w:w="3670" w:type="dxa"/>
            <w:vAlign w:val="center"/>
          </w:tcPr>
          <w:p w14:paraId="2C7A9F7B" w14:textId="24467598" w:rsidR="5EA22E43" w:rsidRDefault="5EA22E43" w:rsidP="450ABE78">
            <w:pPr>
              <w:jc w:val="center"/>
            </w:pPr>
            <w:r w:rsidRPr="450ABE78">
              <w:rPr>
                <w:rFonts w:ascii="system-ui" w:eastAsia="system-ui" w:hAnsi="system-ui" w:cs="system-ui"/>
                <w:sz w:val="19"/>
                <w:szCs w:val="19"/>
              </w:rPr>
              <w:t>0.001381</w:t>
            </w:r>
          </w:p>
        </w:tc>
        <w:tc>
          <w:tcPr>
            <w:tcW w:w="3995" w:type="dxa"/>
            <w:vAlign w:val="center"/>
          </w:tcPr>
          <w:p w14:paraId="3E82A522" w14:textId="34954782" w:rsidR="4D1B3E4C" w:rsidRDefault="4D1B3E4C" w:rsidP="450ABE78">
            <w:pPr>
              <w:jc w:val="center"/>
            </w:pPr>
            <w:r w:rsidRPr="450ABE78">
              <w:rPr>
                <w:rFonts w:ascii="system-ui" w:eastAsia="system-ui" w:hAnsi="system-ui" w:cs="system-ui"/>
                <w:sz w:val="19"/>
                <w:szCs w:val="19"/>
              </w:rPr>
              <w:t>0.854871</w:t>
            </w:r>
          </w:p>
        </w:tc>
      </w:tr>
      <w:tr w:rsidR="450ABE78" w14:paraId="114D95CA" w14:textId="77777777" w:rsidTr="450ABE78">
        <w:trPr>
          <w:trHeight w:val="300"/>
        </w:trPr>
        <w:tc>
          <w:tcPr>
            <w:tcW w:w="1695" w:type="dxa"/>
            <w:vAlign w:val="center"/>
          </w:tcPr>
          <w:p w14:paraId="790C3834" w14:textId="668742BE" w:rsidR="450ABE78" w:rsidRDefault="450ABE78" w:rsidP="450ABE78">
            <w:pPr>
              <w:jc w:val="center"/>
            </w:pPr>
            <w:r>
              <w:t>FIX</w:t>
            </w:r>
          </w:p>
        </w:tc>
        <w:tc>
          <w:tcPr>
            <w:tcW w:w="3670" w:type="dxa"/>
            <w:vAlign w:val="center"/>
          </w:tcPr>
          <w:p w14:paraId="7E89E5EB" w14:textId="134349E9" w:rsidR="1AA9D5AA" w:rsidRDefault="1AA9D5AA" w:rsidP="450ABE78">
            <w:pPr>
              <w:jc w:val="center"/>
            </w:pPr>
            <w:r w:rsidRPr="450ABE78">
              <w:rPr>
                <w:rFonts w:ascii="system-ui" w:eastAsia="system-ui" w:hAnsi="system-ui" w:cs="system-ui"/>
                <w:sz w:val="19"/>
                <w:szCs w:val="19"/>
              </w:rPr>
              <w:t>0.022317</w:t>
            </w:r>
          </w:p>
        </w:tc>
        <w:tc>
          <w:tcPr>
            <w:tcW w:w="3995" w:type="dxa"/>
            <w:vAlign w:val="center"/>
          </w:tcPr>
          <w:p w14:paraId="3D064BA0" w14:textId="48075DA5" w:rsidR="6F8C2520" w:rsidRDefault="6F8C2520" w:rsidP="450ABE78">
            <w:pPr>
              <w:jc w:val="center"/>
            </w:pPr>
            <w:r w:rsidRPr="450ABE78">
              <w:rPr>
                <w:rFonts w:ascii="system-ui" w:eastAsia="system-ui" w:hAnsi="system-ui" w:cs="system-ui"/>
                <w:sz w:val="19"/>
                <w:szCs w:val="19"/>
              </w:rPr>
              <w:t>0.038889</w:t>
            </w:r>
          </w:p>
        </w:tc>
      </w:tr>
    </w:tbl>
    <w:p w14:paraId="105D2923" w14:textId="07CB0D0B" w:rsidR="24A9FE5D" w:rsidRDefault="24A9FE5D" w:rsidP="450ABE78"/>
    <w:p w14:paraId="277800A9" w14:textId="5994A9DD" w:rsidR="24A9FE5D" w:rsidRDefault="360C00BC" w:rsidP="450ABE78">
      <w:r>
        <w:t xml:space="preserve">With three new factors added </w:t>
      </w:r>
      <w:r w:rsidR="36351359">
        <w:t xml:space="preserve">to the model, FIX and NVDA are still the only two stocks </w:t>
      </w:r>
      <w:r w:rsidR="774E3F1B">
        <w:t xml:space="preserve">that have statistically significant alphas. </w:t>
      </w:r>
      <w:r w:rsidR="2529A9D5">
        <w:t xml:space="preserve">For FIX, the addition of SMB, HML, and MOM </w:t>
      </w:r>
      <w:r w:rsidR="2B181E6C">
        <w:t xml:space="preserve">explains a portion of the alpha in the CAPM model, resulting in a </w:t>
      </w:r>
      <w:r w:rsidR="726868D4">
        <w:t>slightly</w:t>
      </w:r>
      <w:r w:rsidR="2B181E6C">
        <w:t xml:space="preserve"> lower alpha in the four-factor model, but still statistically significant. For NVDA, however, the coefficients of SMB, HML</w:t>
      </w:r>
      <w:r w:rsidR="50045351">
        <w:t xml:space="preserve"> were negative,</w:t>
      </w:r>
      <w:r w:rsidR="2B181E6C">
        <w:t xml:space="preserve"> meaning </w:t>
      </w:r>
      <w:r w:rsidR="26EAE0E0">
        <w:t xml:space="preserve">it is negatively exposed to these two factors. </w:t>
      </w:r>
    </w:p>
    <w:p w14:paraId="34869ADE" w14:textId="66DFD2FF" w:rsidR="0591DA12" w:rsidRDefault="0591DA12" w:rsidP="4EF9F414">
      <w:r>
        <w:t>In fact, the p-value of the NVDA alpha is even lower than in CAPM, suggesting that its alpha is even more consistent.</w:t>
      </w:r>
    </w:p>
    <w:p w14:paraId="62FF6309" w14:textId="408878D6" w:rsidR="24B367F6" w:rsidRDefault="545BD9C4" w:rsidP="450ABE78">
      <w:pPr>
        <w:pStyle w:val="ListParagraph"/>
        <w:numPr>
          <w:ilvl w:val="0"/>
          <w:numId w:val="2"/>
        </w:numPr>
        <w:rPr>
          <w:b/>
          <w:bCs/>
        </w:rPr>
      </w:pPr>
      <w:r w:rsidRPr="450ABE78">
        <w:rPr>
          <w:b/>
          <w:bCs/>
        </w:rPr>
        <w:t xml:space="preserve">Compare expected SR of </w:t>
      </w:r>
      <w:r w:rsidR="297AC1DF" w:rsidRPr="450ABE78">
        <w:rPr>
          <w:b/>
          <w:bCs/>
        </w:rPr>
        <w:t>SIM</w:t>
      </w:r>
      <w:r w:rsidRPr="450ABE78">
        <w:rPr>
          <w:b/>
          <w:bCs/>
        </w:rPr>
        <w:t xml:space="preserve"> with SPY</w:t>
      </w:r>
    </w:p>
    <w:tbl>
      <w:tblPr>
        <w:tblW w:w="0" w:type="auto"/>
        <w:jc w:val="center"/>
        <w:tblLayout w:type="fixed"/>
        <w:tblLook w:val="06A0" w:firstRow="1" w:lastRow="0" w:firstColumn="1" w:lastColumn="0" w:noHBand="1" w:noVBand="1"/>
      </w:tblPr>
      <w:tblGrid>
        <w:gridCol w:w="1336"/>
        <w:gridCol w:w="1331"/>
      </w:tblGrid>
      <w:tr w:rsidR="450ABE78" w14:paraId="5AC55438" w14:textId="77777777" w:rsidTr="450ABE78">
        <w:trPr>
          <w:trHeight w:val="315"/>
          <w:jc w:val="center"/>
        </w:trPr>
        <w:tc>
          <w:tcPr>
            <w:tcW w:w="2667" w:type="dxa"/>
            <w:gridSpan w:val="2"/>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6232AD" w14:textId="47458384" w:rsidR="450ABE78" w:rsidRDefault="450ABE78" w:rsidP="450ABE78">
            <w:pPr>
              <w:spacing w:after="0"/>
              <w:jc w:val="center"/>
            </w:pPr>
            <w:r w:rsidRPr="450ABE78">
              <w:rPr>
                <w:rFonts w:ascii="Aptos Narrow" w:eastAsia="Aptos Narrow" w:hAnsi="Aptos Narrow" w:cs="Aptos Narrow"/>
                <w:b/>
                <w:bCs/>
                <w:color w:val="000000" w:themeColor="text1"/>
              </w:rPr>
              <w:t>Sharpe Ratio</w:t>
            </w:r>
          </w:p>
        </w:tc>
      </w:tr>
      <w:tr w:rsidR="450ABE78" w14:paraId="6773B560" w14:textId="77777777" w:rsidTr="450ABE78">
        <w:trPr>
          <w:trHeight w:val="315"/>
          <w:jc w:val="center"/>
        </w:trPr>
        <w:tc>
          <w:tcPr>
            <w:tcW w:w="1336"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256E5F" w14:textId="340C90F3" w:rsidR="450ABE78" w:rsidRDefault="450ABE78" w:rsidP="450ABE78">
            <w:pPr>
              <w:spacing w:after="0"/>
            </w:pPr>
            <w:r w:rsidRPr="450ABE78">
              <w:rPr>
                <w:rFonts w:ascii="Aptos Narrow" w:eastAsia="Aptos Narrow" w:hAnsi="Aptos Narrow" w:cs="Aptos Narrow"/>
                <w:b/>
                <w:bCs/>
                <w:color w:val="000000" w:themeColor="text1"/>
              </w:rPr>
              <w:t>SIM</w:t>
            </w:r>
          </w:p>
        </w:tc>
        <w:tc>
          <w:tcPr>
            <w:tcW w:w="1331"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bottom"/>
          </w:tcPr>
          <w:p w14:paraId="5A1300CE" w14:textId="47103253" w:rsidR="450ABE78" w:rsidRDefault="450ABE78" w:rsidP="450ABE78">
            <w:pPr>
              <w:spacing w:after="0"/>
              <w:jc w:val="right"/>
            </w:pPr>
            <w:r w:rsidRPr="450ABE78">
              <w:rPr>
                <w:rFonts w:ascii="Aptos Narrow" w:eastAsia="Aptos Narrow" w:hAnsi="Aptos Narrow" w:cs="Aptos Narrow"/>
                <w:b/>
                <w:bCs/>
                <w:color w:val="242424"/>
                <w:sz w:val="22"/>
                <w:szCs w:val="22"/>
              </w:rPr>
              <w:t>0.32906</w:t>
            </w:r>
          </w:p>
        </w:tc>
      </w:tr>
      <w:tr w:rsidR="450ABE78" w14:paraId="1846C44C" w14:textId="77777777" w:rsidTr="450ABE78">
        <w:trPr>
          <w:trHeight w:val="315"/>
          <w:jc w:val="center"/>
        </w:trPr>
        <w:tc>
          <w:tcPr>
            <w:tcW w:w="1336" w:type="dxa"/>
            <w:tcBorders>
              <w:top w:val="single" w:sz="4"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F516F45" w14:textId="487C66A1" w:rsidR="450ABE78" w:rsidRDefault="450ABE78" w:rsidP="450ABE78">
            <w:pPr>
              <w:spacing w:after="0"/>
            </w:pPr>
            <w:r w:rsidRPr="450ABE78">
              <w:rPr>
                <w:rFonts w:ascii="Aptos Narrow" w:eastAsia="Aptos Narrow" w:hAnsi="Aptos Narrow" w:cs="Aptos Narrow"/>
                <w:b/>
                <w:bCs/>
                <w:color w:val="000000" w:themeColor="text1"/>
              </w:rPr>
              <w:t>Market</w:t>
            </w:r>
          </w:p>
        </w:tc>
        <w:tc>
          <w:tcPr>
            <w:tcW w:w="1331" w:type="dxa"/>
            <w:tcBorders>
              <w:top w:val="single" w:sz="4"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bottom"/>
          </w:tcPr>
          <w:p w14:paraId="152D75A6" w14:textId="07BDC4F6" w:rsidR="450ABE78" w:rsidRDefault="450ABE78" w:rsidP="450ABE78">
            <w:pPr>
              <w:spacing w:after="0"/>
              <w:jc w:val="right"/>
            </w:pPr>
            <w:r w:rsidRPr="450ABE78">
              <w:rPr>
                <w:rFonts w:ascii="Aptos Narrow" w:eastAsia="Aptos Narrow" w:hAnsi="Aptos Narrow" w:cs="Aptos Narrow"/>
                <w:b/>
                <w:bCs/>
                <w:color w:val="242424"/>
                <w:sz w:val="22"/>
                <w:szCs w:val="22"/>
              </w:rPr>
              <w:t>0.19697</w:t>
            </w:r>
          </w:p>
        </w:tc>
      </w:tr>
    </w:tbl>
    <w:p w14:paraId="0B254C1C" w14:textId="71489E61" w:rsidR="4EF9F414" w:rsidRDefault="4EF9F414" w:rsidP="450ABE78">
      <w:pPr>
        <w:rPr>
          <w:b/>
          <w:bCs/>
        </w:rPr>
      </w:pPr>
    </w:p>
    <w:p w14:paraId="6C4D0465" w14:textId="212D1655" w:rsidR="4EF9F414" w:rsidRDefault="17470977" w:rsidP="450ABE78">
      <w:r>
        <w:t>The SIM portfolio significantly outperforms the market (SPY) in terms of risk-adjusted returns, with an SR approximately 1.67 times higher than SPY. This suggests that the portfolio constructed using the Single Index Model provides more efficient returns for the level of risk taken. This could be explained by the construction of SIM, where-in, the weights alpha and tracking error, allowing it to</w:t>
      </w:r>
      <w:r w:rsidR="19CE68BC">
        <w:t xml:space="preserve"> </w:t>
      </w:r>
      <w:r w:rsidR="7E9EA0E1" w:rsidRPr="450ABE78">
        <w:rPr>
          <w:rFonts w:ascii="Aptos" w:eastAsia="Aptos" w:hAnsi="Aptos" w:cs="Aptos"/>
        </w:rPr>
        <w:t xml:space="preserve">exploit securities with higher expected returns and lower systematic risk compared to SPY. </w:t>
      </w:r>
    </w:p>
    <w:p w14:paraId="622871B0" w14:textId="541837DA" w:rsidR="4EF9F414" w:rsidRDefault="7E9EA0E1" w:rsidP="450ABE78">
      <w:pPr>
        <w:rPr>
          <w:rFonts w:ascii="Aptos" w:eastAsia="Aptos" w:hAnsi="Aptos" w:cs="Aptos"/>
        </w:rPr>
      </w:pPr>
      <w:r w:rsidRPr="450ABE78">
        <w:rPr>
          <w:rFonts w:ascii="Aptos" w:eastAsia="Aptos" w:hAnsi="Aptos" w:cs="Aptos"/>
        </w:rPr>
        <w:t>SIM being a combination of active (10 stocks) and passive (SPY), provides a much better</w:t>
      </w:r>
      <w:r w:rsidR="04ADD90C" w:rsidRPr="450ABE78">
        <w:rPr>
          <w:rFonts w:ascii="Aptos" w:eastAsia="Aptos" w:hAnsi="Aptos" w:cs="Aptos"/>
        </w:rPr>
        <w:t xml:space="preserve"> performance</w:t>
      </w:r>
      <w:r w:rsidRPr="450ABE78">
        <w:rPr>
          <w:rFonts w:ascii="Aptos" w:eastAsia="Aptos" w:hAnsi="Aptos" w:cs="Aptos"/>
        </w:rPr>
        <w:t xml:space="preserve"> on a risk-adjusted basis by leveraging the active component to generate alpha while still retaining exposure to the market portfolio for systematic returns.</w:t>
      </w:r>
    </w:p>
    <w:p w14:paraId="24BC47BC" w14:textId="32B78ADA" w:rsidR="4EF9F414" w:rsidRDefault="4EF9F414" w:rsidP="450ABE78"/>
    <w:p w14:paraId="79DAB684" w14:textId="32E9B366" w:rsidR="24B367F6" w:rsidRDefault="24B367F6" w:rsidP="4EF9F414">
      <w:pPr>
        <w:pStyle w:val="ListParagraph"/>
        <w:numPr>
          <w:ilvl w:val="0"/>
          <w:numId w:val="2"/>
        </w:numPr>
        <w:rPr>
          <w:b/>
          <w:bCs/>
        </w:rPr>
      </w:pPr>
      <w:r w:rsidRPr="4EF9F414">
        <w:rPr>
          <w:b/>
          <w:bCs/>
        </w:rPr>
        <w:t>Compare SR of tangent with sim</w:t>
      </w:r>
    </w:p>
    <w:p w14:paraId="5283D08A" w14:textId="6F9E7767" w:rsidR="67361B00" w:rsidRDefault="0EBFF0DC" w:rsidP="4EF9F414">
      <w:r>
        <w:lastRenderedPageBreak/>
        <w:t xml:space="preserve">The Tangent portfolio has Sharpe ratio of </w:t>
      </w:r>
      <w:r w:rsidRPr="450ABE78">
        <w:rPr>
          <w:b/>
          <w:bCs/>
        </w:rPr>
        <w:t>0.82</w:t>
      </w:r>
      <w:r>
        <w:t xml:space="preserve">, while the Single Index Model portfolio has a Sharpe ratio of </w:t>
      </w:r>
      <w:r w:rsidRPr="450ABE78">
        <w:rPr>
          <w:b/>
          <w:bCs/>
        </w:rPr>
        <w:t>0.33</w:t>
      </w:r>
      <w:r>
        <w:t xml:space="preserve">. </w:t>
      </w:r>
      <w:r w:rsidR="6232EDB7">
        <w:t xml:space="preserve">In other words, the Tangent portfolio has a significantly higher Sharpe ratio than the Single Index Model. </w:t>
      </w:r>
    </w:p>
    <w:p w14:paraId="5661DCF7" w14:textId="414FD734" w:rsidR="450ABE78" w:rsidRDefault="6B3DDF2E">
      <w:r>
        <w:t xml:space="preserve">Theoretically, the Markowitz model is superior to the Single Index Model because it </w:t>
      </w:r>
      <w:r w:rsidR="42FBA831">
        <w:t xml:space="preserve">considers total risk of </w:t>
      </w:r>
      <w:r w:rsidR="40F7EE04">
        <w:t xml:space="preserve">a stock while the Single Index Model oversimplifies the </w:t>
      </w:r>
      <w:r w:rsidR="0E154BBC">
        <w:t xml:space="preserve">stock risk profile by assuming that risk is fully characterized by betas. </w:t>
      </w:r>
      <w:r w:rsidR="030234DD">
        <w:t xml:space="preserve">When allocating stocks in a portfolio, the Markowitz model </w:t>
      </w:r>
      <w:r w:rsidR="7CF956F5">
        <w:t>emphasizes</w:t>
      </w:r>
      <w:r w:rsidR="030234DD">
        <w:t xml:space="preserve"> </w:t>
      </w:r>
      <w:r w:rsidR="22E46E0F">
        <w:t xml:space="preserve">how </w:t>
      </w:r>
      <w:r w:rsidR="030234DD">
        <w:t xml:space="preserve">covariance </w:t>
      </w:r>
      <w:r w:rsidR="50C162D1">
        <w:t xml:space="preserve">is the key factor in creating a superior risk-adjusted return portfolio (i.e. diversification). </w:t>
      </w:r>
      <w:r w:rsidR="5987CA01">
        <w:t xml:space="preserve">With only a few assumptions, the model provides a comprehensive illustration of </w:t>
      </w:r>
      <w:r w:rsidR="61DD6BEC">
        <w:t xml:space="preserve">mean-variance portfolio construction. </w:t>
      </w:r>
      <w:r w:rsidR="02309F95">
        <w:t xml:space="preserve">On the other hand, the Single Index Model </w:t>
      </w:r>
      <w:r w:rsidR="281F3BA2">
        <w:t xml:space="preserve">only </w:t>
      </w:r>
      <w:r w:rsidR="08C96545">
        <w:t>concerns</w:t>
      </w:r>
      <w:r w:rsidR="1EBD1E86">
        <w:t xml:space="preserve"> </w:t>
      </w:r>
      <w:r w:rsidR="4F0FC497">
        <w:t xml:space="preserve">stock covariance with the market since it assumes </w:t>
      </w:r>
      <w:r w:rsidR="51CE1B2F">
        <w:t xml:space="preserve">market risk is the only risk factor that </w:t>
      </w:r>
      <w:r w:rsidR="772EE00E">
        <w:t xml:space="preserve">matters. </w:t>
      </w:r>
      <w:r w:rsidR="267E0CD5">
        <w:t xml:space="preserve">As a result, the Single Index Model </w:t>
      </w:r>
      <w:r w:rsidR="4543AAD6">
        <w:t xml:space="preserve">tends to underestimate idiosyncratic risks. </w:t>
      </w:r>
    </w:p>
    <w:p w14:paraId="3EF787AE" w14:textId="2EFFC474" w:rsidR="450ABE78" w:rsidRDefault="37C56437" w:rsidP="450ABE78">
      <w:r>
        <w:t xml:space="preserve">Because we are working with only 10 stocks, </w:t>
      </w:r>
      <w:r w:rsidR="7D934B52">
        <w:t xml:space="preserve">the </w:t>
      </w:r>
      <w:r w:rsidR="29B30334">
        <w:t xml:space="preserve">complexity </w:t>
      </w:r>
      <w:r w:rsidR="7D934B52">
        <w:t xml:space="preserve">of </w:t>
      </w:r>
      <w:r w:rsidR="1C7DE33F">
        <w:t xml:space="preserve">the Markowitz model is not </w:t>
      </w:r>
      <w:r w:rsidR="30B914AA">
        <w:t xml:space="preserve">an issue compared to the Single Index Model. If the number of stocks becomes 10,000 instead, </w:t>
      </w:r>
      <w:r w:rsidR="14F9DA60">
        <w:t xml:space="preserve">the number of inputs grows exponentially, and </w:t>
      </w:r>
      <w:r w:rsidR="30B914AA">
        <w:t>the Markowitz will become much less efficient than the Single Index M</w:t>
      </w:r>
      <w:r w:rsidR="1EFDF120">
        <w:t xml:space="preserve">odel. </w:t>
      </w:r>
      <w:r w:rsidR="094405D4">
        <w:t>As a result, the drawbacks of the Markowitz model are outweighed by the benefi</w:t>
      </w:r>
      <w:r w:rsidR="546524E1">
        <w:t xml:space="preserve">ts </w:t>
      </w:r>
      <w:r w:rsidR="094405D4">
        <w:t xml:space="preserve">in this case. </w:t>
      </w:r>
    </w:p>
    <w:p w14:paraId="640834CF" w14:textId="77777777" w:rsidR="00EF68BF" w:rsidRPr="00EF68BF" w:rsidRDefault="00EF68BF" w:rsidP="450ABE78"/>
    <w:p w14:paraId="0898B428" w14:textId="74FBE1B3" w:rsidR="01B8D062" w:rsidRDefault="7BD09FBE" w:rsidP="450ABE78">
      <w:pPr>
        <w:pStyle w:val="ListParagraph"/>
        <w:numPr>
          <w:ilvl w:val="0"/>
          <w:numId w:val="2"/>
        </w:numPr>
        <w:rPr>
          <w:b/>
          <w:bCs/>
        </w:rPr>
      </w:pPr>
      <w:r w:rsidRPr="450ABE78">
        <w:rPr>
          <w:b/>
          <w:bCs/>
        </w:rPr>
        <w:t>Compare SR of 14 and 16:</w:t>
      </w:r>
    </w:p>
    <w:p w14:paraId="10F13ABC" w14:textId="20E0481D" w:rsidR="01B8D062" w:rsidRDefault="01B8D062" w:rsidP="4EF9F414">
      <w:r>
        <w:t xml:space="preserve">The Sharpe ratio from 14 and 16 is equal because the weight of each stock in the portfolio doesn’t change </w:t>
      </w:r>
      <w:r w:rsidR="108C3B73">
        <w:t xml:space="preserve">with the margin ratios. As a result, the </w:t>
      </w:r>
      <w:r w:rsidR="05D57559">
        <w:t>return and risk of the portfolio doesn’t change, and neither does the Sharpe ratio.</w:t>
      </w:r>
    </w:p>
    <w:sectPr w:rsidR="01B8D0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FAA92" w14:textId="77777777" w:rsidR="008836A2" w:rsidRDefault="008836A2">
      <w:pPr>
        <w:spacing w:after="0" w:line="240" w:lineRule="auto"/>
      </w:pPr>
      <w:r>
        <w:separator/>
      </w:r>
    </w:p>
  </w:endnote>
  <w:endnote w:type="continuationSeparator" w:id="0">
    <w:p w14:paraId="741CFD0A" w14:textId="77777777" w:rsidR="008836A2" w:rsidRDefault="0088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50ABE78" w14:paraId="7ADE92C2" w14:textId="77777777" w:rsidTr="450ABE78">
      <w:trPr>
        <w:trHeight w:val="300"/>
      </w:trPr>
      <w:tc>
        <w:tcPr>
          <w:tcW w:w="3120" w:type="dxa"/>
        </w:tcPr>
        <w:p w14:paraId="11FD5667" w14:textId="7240FD32" w:rsidR="450ABE78" w:rsidRDefault="450ABE78" w:rsidP="450ABE78">
          <w:pPr>
            <w:pStyle w:val="Header"/>
            <w:ind w:left="-115"/>
          </w:pPr>
        </w:p>
      </w:tc>
      <w:tc>
        <w:tcPr>
          <w:tcW w:w="3120" w:type="dxa"/>
        </w:tcPr>
        <w:p w14:paraId="314027A6" w14:textId="7369B3A7" w:rsidR="450ABE78" w:rsidRDefault="450ABE78" w:rsidP="450ABE78">
          <w:pPr>
            <w:pStyle w:val="Header"/>
            <w:jc w:val="center"/>
          </w:pPr>
        </w:p>
      </w:tc>
      <w:tc>
        <w:tcPr>
          <w:tcW w:w="3120" w:type="dxa"/>
        </w:tcPr>
        <w:p w14:paraId="45D0CD1F" w14:textId="3C18B380" w:rsidR="450ABE78" w:rsidRDefault="450ABE78" w:rsidP="450ABE78">
          <w:pPr>
            <w:pStyle w:val="Header"/>
            <w:ind w:right="-115"/>
            <w:jc w:val="right"/>
          </w:pPr>
        </w:p>
      </w:tc>
    </w:tr>
  </w:tbl>
  <w:p w14:paraId="753F4E71" w14:textId="1BBC4B3F" w:rsidR="450ABE78" w:rsidRDefault="450ABE78" w:rsidP="450AB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AF5AA" w14:textId="77777777" w:rsidR="008836A2" w:rsidRDefault="008836A2">
      <w:pPr>
        <w:spacing w:after="0" w:line="240" w:lineRule="auto"/>
      </w:pPr>
      <w:r>
        <w:separator/>
      </w:r>
    </w:p>
  </w:footnote>
  <w:footnote w:type="continuationSeparator" w:id="0">
    <w:p w14:paraId="1B4A2D79" w14:textId="77777777" w:rsidR="008836A2" w:rsidRDefault="0088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DE242" w14:textId="6E91F4A4" w:rsidR="450ABE78" w:rsidRDefault="450ABE78" w:rsidP="450ABE78">
    <w:pPr>
      <w:jc w:val="center"/>
      <w:rPr>
        <w:b/>
        <w:bCs/>
      </w:rPr>
    </w:pPr>
    <w:r w:rsidRPr="450ABE78">
      <w:rPr>
        <w:b/>
        <w:bCs/>
      </w:rPr>
      <w:t>Investment Analysis – Group Project</w:t>
    </w:r>
  </w:p>
  <w:tbl>
    <w:tblPr>
      <w:tblW w:w="0" w:type="auto"/>
      <w:jc w:val="center"/>
      <w:tblLayout w:type="fixed"/>
      <w:tblLook w:val="06A0" w:firstRow="1" w:lastRow="0" w:firstColumn="1" w:lastColumn="0" w:noHBand="1" w:noVBand="1"/>
    </w:tblPr>
    <w:tblGrid>
      <w:gridCol w:w="353"/>
    </w:tblGrid>
    <w:tr w:rsidR="450ABE78" w14:paraId="6F652F9B" w14:textId="77777777" w:rsidTr="450ABE78">
      <w:trPr>
        <w:trHeight w:val="300"/>
        <w:jc w:val="center"/>
      </w:trPr>
      <w:tc>
        <w:tcPr>
          <w:tcW w:w="353" w:type="dxa"/>
        </w:tcPr>
        <w:p w14:paraId="7B183753" w14:textId="04718514" w:rsidR="450ABE78" w:rsidRDefault="450ABE78" w:rsidP="450ABE78">
          <w:pPr>
            <w:pStyle w:val="Header"/>
            <w:ind w:right="-115"/>
            <w:jc w:val="right"/>
          </w:pPr>
        </w:p>
      </w:tc>
    </w:tr>
  </w:tbl>
  <w:p w14:paraId="413B5DDE" w14:textId="43B14052" w:rsidR="450ABE78" w:rsidRDefault="450ABE78" w:rsidP="450ABE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9F2DD"/>
    <w:multiLevelType w:val="hybridMultilevel"/>
    <w:tmpl w:val="FFFFFFFF"/>
    <w:lvl w:ilvl="0" w:tplc="639230C0">
      <w:start w:val="1"/>
      <w:numFmt w:val="bullet"/>
      <w:lvlText w:val=""/>
      <w:lvlJc w:val="left"/>
      <w:pPr>
        <w:ind w:left="720" w:hanging="360"/>
      </w:pPr>
      <w:rPr>
        <w:rFonts w:ascii="Symbol" w:hAnsi="Symbol" w:hint="default"/>
      </w:rPr>
    </w:lvl>
    <w:lvl w:ilvl="1" w:tplc="C47C48C6">
      <w:start w:val="1"/>
      <w:numFmt w:val="bullet"/>
      <w:lvlText w:val="o"/>
      <w:lvlJc w:val="left"/>
      <w:pPr>
        <w:ind w:left="1440" w:hanging="360"/>
      </w:pPr>
      <w:rPr>
        <w:rFonts w:ascii="Courier New" w:hAnsi="Courier New" w:hint="default"/>
      </w:rPr>
    </w:lvl>
    <w:lvl w:ilvl="2" w:tplc="3D068D12">
      <w:start w:val="1"/>
      <w:numFmt w:val="bullet"/>
      <w:lvlText w:val=""/>
      <w:lvlJc w:val="left"/>
      <w:pPr>
        <w:ind w:left="2160" w:hanging="360"/>
      </w:pPr>
      <w:rPr>
        <w:rFonts w:ascii="Wingdings" w:hAnsi="Wingdings" w:hint="default"/>
      </w:rPr>
    </w:lvl>
    <w:lvl w:ilvl="3" w:tplc="857A2B2C">
      <w:start w:val="1"/>
      <w:numFmt w:val="bullet"/>
      <w:lvlText w:val=""/>
      <w:lvlJc w:val="left"/>
      <w:pPr>
        <w:ind w:left="2880" w:hanging="360"/>
      </w:pPr>
      <w:rPr>
        <w:rFonts w:ascii="Symbol" w:hAnsi="Symbol" w:hint="default"/>
      </w:rPr>
    </w:lvl>
    <w:lvl w:ilvl="4" w:tplc="A13AB8A0">
      <w:start w:val="1"/>
      <w:numFmt w:val="bullet"/>
      <w:lvlText w:val="o"/>
      <w:lvlJc w:val="left"/>
      <w:pPr>
        <w:ind w:left="3600" w:hanging="360"/>
      </w:pPr>
      <w:rPr>
        <w:rFonts w:ascii="Courier New" w:hAnsi="Courier New" w:hint="default"/>
      </w:rPr>
    </w:lvl>
    <w:lvl w:ilvl="5" w:tplc="453C7CFA">
      <w:start w:val="1"/>
      <w:numFmt w:val="bullet"/>
      <w:lvlText w:val=""/>
      <w:lvlJc w:val="left"/>
      <w:pPr>
        <w:ind w:left="4320" w:hanging="360"/>
      </w:pPr>
      <w:rPr>
        <w:rFonts w:ascii="Wingdings" w:hAnsi="Wingdings" w:hint="default"/>
      </w:rPr>
    </w:lvl>
    <w:lvl w:ilvl="6" w:tplc="135C172A">
      <w:start w:val="1"/>
      <w:numFmt w:val="bullet"/>
      <w:lvlText w:val=""/>
      <w:lvlJc w:val="left"/>
      <w:pPr>
        <w:ind w:left="5040" w:hanging="360"/>
      </w:pPr>
      <w:rPr>
        <w:rFonts w:ascii="Symbol" w:hAnsi="Symbol" w:hint="default"/>
      </w:rPr>
    </w:lvl>
    <w:lvl w:ilvl="7" w:tplc="F1362EDE">
      <w:start w:val="1"/>
      <w:numFmt w:val="bullet"/>
      <w:lvlText w:val="o"/>
      <w:lvlJc w:val="left"/>
      <w:pPr>
        <w:ind w:left="5760" w:hanging="360"/>
      </w:pPr>
      <w:rPr>
        <w:rFonts w:ascii="Courier New" w:hAnsi="Courier New" w:hint="default"/>
      </w:rPr>
    </w:lvl>
    <w:lvl w:ilvl="8" w:tplc="63A4E8C6">
      <w:start w:val="1"/>
      <w:numFmt w:val="bullet"/>
      <w:lvlText w:val=""/>
      <w:lvlJc w:val="left"/>
      <w:pPr>
        <w:ind w:left="6480" w:hanging="360"/>
      </w:pPr>
      <w:rPr>
        <w:rFonts w:ascii="Wingdings" w:hAnsi="Wingdings" w:hint="default"/>
      </w:rPr>
    </w:lvl>
  </w:abstractNum>
  <w:abstractNum w:abstractNumId="1" w15:restartNumberingAfterBreak="0">
    <w:nsid w:val="72308DFE"/>
    <w:multiLevelType w:val="hybridMultilevel"/>
    <w:tmpl w:val="FFFFFFFF"/>
    <w:lvl w:ilvl="0" w:tplc="6C940A80">
      <w:start w:val="1"/>
      <w:numFmt w:val="decimal"/>
      <w:lvlText w:val="%1."/>
      <w:lvlJc w:val="left"/>
      <w:pPr>
        <w:ind w:left="720" w:hanging="360"/>
      </w:pPr>
    </w:lvl>
    <w:lvl w:ilvl="1" w:tplc="4E56A05E">
      <w:start w:val="1"/>
      <w:numFmt w:val="lowerLetter"/>
      <w:lvlText w:val="%2."/>
      <w:lvlJc w:val="left"/>
      <w:pPr>
        <w:ind w:left="1440" w:hanging="360"/>
      </w:pPr>
    </w:lvl>
    <w:lvl w:ilvl="2" w:tplc="A950EDF8">
      <w:start w:val="1"/>
      <w:numFmt w:val="lowerRoman"/>
      <w:lvlText w:val="%3."/>
      <w:lvlJc w:val="right"/>
      <w:pPr>
        <w:ind w:left="2160" w:hanging="180"/>
      </w:pPr>
    </w:lvl>
    <w:lvl w:ilvl="3" w:tplc="E6C0134E">
      <w:start w:val="1"/>
      <w:numFmt w:val="decimal"/>
      <w:lvlText w:val="%4."/>
      <w:lvlJc w:val="left"/>
      <w:pPr>
        <w:ind w:left="2880" w:hanging="360"/>
      </w:pPr>
    </w:lvl>
    <w:lvl w:ilvl="4" w:tplc="0802751A">
      <w:start w:val="1"/>
      <w:numFmt w:val="lowerLetter"/>
      <w:lvlText w:val="%5."/>
      <w:lvlJc w:val="left"/>
      <w:pPr>
        <w:ind w:left="3600" w:hanging="360"/>
      </w:pPr>
    </w:lvl>
    <w:lvl w:ilvl="5" w:tplc="F08820DC">
      <w:start w:val="1"/>
      <w:numFmt w:val="lowerRoman"/>
      <w:lvlText w:val="%6."/>
      <w:lvlJc w:val="right"/>
      <w:pPr>
        <w:ind w:left="4320" w:hanging="180"/>
      </w:pPr>
    </w:lvl>
    <w:lvl w:ilvl="6" w:tplc="ECF2AF82">
      <w:start w:val="1"/>
      <w:numFmt w:val="decimal"/>
      <w:lvlText w:val="%7."/>
      <w:lvlJc w:val="left"/>
      <w:pPr>
        <w:ind w:left="5040" w:hanging="360"/>
      </w:pPr>
    </w:lvl>
    <w:lvl w:ilvl="7" w:tplc="AEFC7392">
      <w:start w:val="1"/>
      <w:numFmt w:val="lowerLetter"/>
      <w:lvlText w:val="%8."/>
      <w:lvlJc w:val="left"/>
      <w:pPr>
        <w:ind w:left="5760" w:hanging="360"/>
      </w:pPr>
    </w:lvl>
    <w:lvl w:ilvl="8" w:tplc="0818C94A">
      <w:start w:val="1"/>
      <w:numFmt w:val="lowerRoman"/>
      <w:lvlText w:val="%9."/>
      <w:lvlJc w:val="right"/>
      <w:pPr>
        <w:ind w:left="6480" w:hanging="180"/>
      </w:pPr>
    </w:lvl>
  </w:abstractNum>
  <w:num w:numId="1" w16cid:durableId="1744907019">
    <w:abstractNumId w:val="0"/>
  </w:num>
  <w:num w:numId="2" w16cid:durableId="138359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BFB7F"/>
    <w:rsid w:val="00036068"/>
    <w:rsid w:val="00167AA2"/>
    <w:rsid w:val="00232228"/>
    <w:rsid w:val="003669EB"/>
    <w:rsid w:val="003B506C"/>
    <w:rsid w:val="00407EC7"/>
    <w:rsid w:val="00444E83"/>
    <w:rsid w:val="004B46FA"/>
    <w:rsid w:val="0050772F"/>
    <w:rsid w:val="0054704C"/>
    <w:rsid w:val="0057411A"/>
    <w:rsid w:val="005D3B5F"/>
    <w:rsid w:val="00636062"/>
    <w:rsid w:val="00747AD2"/>
    <w:rsid w:val="008836A2"/>
    <w:rsid w:val="00895EC6"/>
    <w:rsid w:val="008D7412"/>
    <w:rsid w:val="0091586B"/>
    <w:rsid w:val="009573B7"/>
    <w:rsid w:val="00980F2B"/>
    <w:rsid w:val="009B3282"/>
    <w:rsid w:val="009F202F"/>
    <w:rsid w:val="00A30C97"/>
    <w:rsid w:val="00B61E6D"/>
    <w:rsid w:val="00B724FC"/>
    <w:rsid w:val="00BA484E"/>
    <w:rsid w:val="00E0B1F1"/>
    <w:rsid w:val="00EF68BF"/>
    <w:rsid w:val="00F4374C"/>
    <w:rsid w:val="012EB547"/>
    <w:rsid w:val="014C79C7"/>
    <w:rsid w:val="014EE4C0"/>
    <w:rsid w:val="01B8D062"/>
    <w:rsid w:val="02309F95"/>
    <w:rsid w:val="02F0CB87"/>
    <w:rsid w:val="030234DD"/>
    <w:rsid w:val="0343760F"/>
    <w:rsid w:val="03CDAC34"/>
    <w:rsid w:val="03D305FE"/>
    <w:rsid w:val="042BAAE6"/>
    <w:rsid w:val="046A7BD4"/>
    <w:rsid w:val="0470DA8C"/>
    <w:rsid w:val="04A91329"/>
    <w:rsid w:val="04ADD90C"/>
    <w:rsid w:val="04B880D8"/>
    <w:rsid w:val="0506D288"/>
    <w:rsid w:val="0522F0CE"/>
    <w:rsid w:val="057353AF"/>
    <w:rsid w:val="0591DA12"/>
    <w:rsid w:val="05D57559"/>
    <w:rsid w:val="05FE68E1"/>
    <w:rsid w:val="066D159D"/>
    <w:rsid w:val="06A6DDAE"/>
    <w:rsid w:val="0714F075"/>
    <w:rsid w:val="0767EC62"/>
    <w:rsid w:val="07CEA80B"/>
    <w:rsid w:val="07FD85D1"/>
    <w:rsid w:val="088B9A3B"/>
    <w:rsid w:val="08C96545"/>
    <w:rsid w:val="08F343CA"/>
    <w:rsid w:val="094405D4"/>
    <w:rsid w:val="09644376"/>
    <w:rsid w:val="099682EC"/>
    <w:rsid w:val="0A3BFB7F"/>
    <w:rsid w:val="0A597FF7"/>
    <w:rsid w:val="0B27AEEE"/>
    <w:rsid w:val="0B308DC9"/>
    <w:rsid w:val="0B3F3148"/>
    <w:rsid w:val="0B67484E"/>
    <w:rsid w:val="0C1C6AC5"/>
    <w:rsid w:val="0C240891"/>
    <w:rsid w:val="0C41FDC4"/>
    <w:rsid w:val="0D0ED1DC"/>
    <w:rsid w:val="0E154BBC"/>
    <w:rsid w:val="0E702E1C"/>
    <w:rsid w:val="0EBFF0DC"/>
    <w:rsid w:val="0EFEE359"/>
    <w:rsid w:val="0F04D8DB"/>
    <w:rsid w:val="0F0E54F3"/>
    <w:rsid w:val="0F231966"/>
    <w:rsid w:val="0F542CF4"/>
    <w:rsid w:val="0FB14D1A"/>
    <w:rsid w:val="107F062B"/>
    <w:rsid w:val="108C3B73"/>
    <w:rsid w:val="10D7C5C2"/>
    <w:rsid w:val="10DD1147"/>
    <w:rsid w:val="11019360"/>
    <w:rsid w:val="11572AAB"/>
    <w:rsid w:val="12791328"/>
    <w:rsid w:val="1307DB22"/>
    <w:rsid w:val="132D9962"/>
    <w:rsid w:val="13408E4D"/>
    <w:rsid w:val="134CA7C2"/>
    <w:rsid w:val="13E124A7"/>
    <w:rsid w:val="14992681"/>
    <w:rsid w:val="14BFFC53"/>
    <w:rsid w:val="14F9DA60"/>
    <w:rsid w:val="15A850FB"/>
    <w:rsid w:val="15C29374"/>
    <w:rsid w:val="16C7BCA2"/>
    <w:rsid w:val="17470977"/>
    <w:rsid w:val="174B81BB"/>
    <w:rsid w:val="174BF4F9"/>
    <w:rsid w:val="1769334A"/>
    <w:rsid w:val="18571F5C"/>
    <w:rsid w:val="1915AD86"/>
    <w:rsid w:val="19CE68BC"/>
    <w:rsid w:val="1A2A51E4"/>
    <w:rsid w:val="1A752887"/>
    <w:rsid w:val="1A95E8C0"/>
    <w:rsid w:val="1AA9D5AA"/>
    <w:rsid w:val="1AC87034"/>
    <w:rsid w:val="1B086BCE"/>
    <w:rsid w:val="1B3A2091"/>
    <w:rsid w:val="1B501A42"/>
    <w:rsid w:val="1C088104"/>
    <w:rsid w:val="1C11F4DA"/>
    <w:rsid w:val="1C6E268B"/>
    <w:rsid w:val="1C7DE33F"/>
    <w:rsid w:val="1D0E3A56"/>
    <w:rsid w:val="1D3500F4"/>
    <w:rsid w:val="1D9759EB"/>
    <w:rsid w:val="1D99597A"/>
    <w:rsid w:val="1DFA1522"/>
    <w:rsid w:val="1E1B7E62"/>
    <w:rsid w:val="1E678DFD"/>
    <w:rsid w:val="1E69F22A"/>
    <w:rsid w:val="1EAFEE23"/>
    <w:rsid w:val="1EBD1E86"/>
    <w:rsid w:val="1EFDF120"/>
    <w:rsid w:val="202B2362"/>
    <w:rsid w:val="22055452"/>
    <w:rsid w:val="2248BD30"/>
    <w:rsid w:val="2251374D"/>
    <w:rsid w:val="226C3D74"/>
    <w:rsid w:val="226F822D"/>
    <w:rsid w:val="22C5EFF0"/>
    <w:rsid w:val="22E46E0F"/>
    <w:rsid w:val="22EE789E"/>
    <w:rsid w:val="232A81A1"/>
    <w:rsid w:val="2380A818"/>
    <w:rsid w:val="23E59467"/>
    <w:rsid w:val="24A9FE5D"/>
    <w:rsid w:val="24B367F6"/>
    <w:rsid w:val="24D8F103"/>
    <w:rsid w:val="2529A9D5"/>
    <w:rsid w:val="267E0CD5"/>
    <w:rsid w:val="26EAE0E0"/>
    <w:rsid w:val="281F3BA2"/>
    <w:rsid w:val="289B871D"/>
    <w:rsid w:val="28F1B107"/>
    <w:rsid w:val="2929FB4D"/>
    <w:rsid w:val="297AC1DF"/>
    <w:rsid w:val="29B30334"/>
    <w:rsid w:val="29B570D5"/>
    <w:rsid w:val="2A0E9724"/>
    <w:rsid w:val="2A3806C5"/>
    <w:rsid w:val="2B181E6C"/>
    <w:rsid w:val="2B3B14DA"/>
    <w:rsid w:val="2C7016D6"/>
    <w:rsid w:val="2C735C46"/>
    <w:rsid w:val="2E1DCBE0"/>
    <w:rsid w:val="2EECBB2E"/>
    <w:rsid w:val="2F233F57"/>
    <w:rsid w:val="2F56D077"/>
    <w:rsid w:val="2F619132"/>
    <w:rsid w:val="303BE12C"/>
    <w:rsid w:val="309F66F7"/>
    <w:rsid w:val="30B914AA"/>
    <w:rsid w:val="30BC3175"/>
    <w:rsid w:val="31355F14"/>
    <w:rsid w:val="31CCCC11"/>
    <w:rsid w:val="327C2737"/>
    <w:rsid w:val="3321828A"/>
    <w:rsid w:val="33532B3C"/>
    <w:rsid w:val="340297A9"/>
    <w:rsid w:val="34718033"/>
    <w:rsid w:val="34C655F0"/>
    <w:rsid w:val="34ED44D6"/>
    <w:rsid w:val="3528742E"/>
    <w:rsid w:val="35BA0898"/>
    <w:rsid w:val="35C02F33"/>
    <w:rsid w:val="35EA24F7"/>
    <w:rsid w:val="35EC90D2"/>
    <w:rsid w:val="360C00BC"/>
    <w:rsid w:val="36351359"/>
    <w:rsid w:val="36630843"/>
    <w:rsid w:val="369D2274"/>
    <w:rsid w:val="37034B6B"/>
    <w:rsid w:val="37242EC5"/>
    <w:rsid w:val="37ADAD91"/>
    <w:rsid w:val="37B4B1B6"/>
    <w:rsid w:val="37BC5E87"/>
    <w:rsid w:val="37C334F8"/>
    <w:rsid w:val="37C56437"/>
    <w:rsid w:val="381D4BC3"/>
    <w:rsid w:val="386ED926"/>
    <w:rsid w:val="38B11C25"/>
    <w:rsid w:val="393A56C0"/>
    <w:rsid w:val="39A8B322"/>
    <w:rsid w:val="3A2DB585"/>
    <w:rsid w:val="3A36B2A5"/>
    <w:rsid w:val="3A56CBB7"/>
    <w:rsid w:val="3A85541C"/>
    <w:rsid w:val="3A86C187"/>
    <w:rsid w:val="3B2977ED"/>
    <w:rsid w:val="3C1984E1"/>
    <w:rsid w:val="3C3B65D0"/>
    <w:rsid w:val="3C4440A6"/>
    <w:rsid w:val="3C572913"/>
    <w:rsid w:val="3C7B2439"/>
    <w:rsid w:val="3DC975FF"/>
    <w:rsid w:val="3DE01A40"/>
    <w:rsid w:val="3EC6DEB6"/>
    <w:rsid w:val="3F31E78B"/>
    <w:rsid w:val="3F5BA57B"/>
    <w:rsid w:val="3FEEAEBB"/>
    <w:rsid w:val="3FF633EE"/>
    <w:rsid w:val="3FFC30D0"/>
    <w:rsid w:val="4030FFB1"/>
    <w:rsid w:val="4064D7F6"/>
    <w:rsid w:val="4090C8A6"/>
    <w:rsid w:val="40BAD650"/>
    <w:rsid w:val="40F7EE04"/>
    <w:rsid w:val="410207EF"/>
    <w:rsid w:val="41B1D810"/>
    <w:rsid w:val="41C28C4D"/>
    <w:rsid w:val="42F0AB01"/>
    <w:rsid w:val="42FBA831"/>
    <w:rsid w:val="4355646C"/>
    <w:rsid w:val="43AD5830"/>
    <w:rsid w:val="43E76A01"/>
    <w:rsid w:val="44565942"/>
    <w:rsid w:val="44684260"/>
    <w:rsid w:val="4508292A"/>
    <w:rsid w:val="450ABE78"/>
    <w:rsid w:val="4543AAD6"/>
    <w:rsid w:val="4548DAFC"/>
    <w:rsid w:val="45A44C63"/>
    <w:rsid w:val="45FEAB4D"/>
    <w:rsid w:val="4815AC07"/>
    <w:rsid w:val="4905FA5F"/>
    <w:rsid w:val="494E8192"/>
    <w:rsid w:val="4981BC10"/>
    <w:rsid w:val="49F79225"/>
    <w:rsid w:val="4A4628CE"/>
    <w:rsid w:val="4A4BD334"/>
    <w:rsid w:val="4A8E6548"/>
    <w:rsid w:val="4AC5DF2C"/>
    <w:rsid w:val="4B09109F"/>
    <w:rsid w:val="4BC14BF6"/>
    <w:rsid w:val="4C620E40"/>
    <w:rsid w:val="4D09BEDF"/>
    <w:rsid w:val="4D1B3E4C"/>
    <w:rsid w:val="4D32BC58"/>
    <w:rsid w:val="4D7BF4CB"/>
    <w:rsid w:val="4D825885"/>
    <w:rsid w:val="4DAC996E"/>
    <w:rsid w:val="4EF9F414"/>
    <w:rsid w:val="4F080CCE"/>
    <w:rsid w:val="4F0FC497"/>
    <w:rsid w:val="4F5B97FB"/>
    <w:rsid w:val="4FB3181D"/>
    <w:rsid w:val="4FD45A70"/>
    <w:rsid w:val="50045351"/>
    <w:rsid w:val="50967BEE"/>
    <w:rsid w:val="509B2E22"/>
    <w:rsid w:val="50C162D1"/>
    <w:rsid w:val="51CE1B2F"/>
    <w:rsid w:val="51F6B10E"/>
    <w:rsid w:val="526204BC"/>
    <w:rsid w:val="528F9DFF"/>
    <w:rsid w:val="5291F276"/>
    <w:rsid w:val="52F60130"/>
    <w:rsid w:val="52FE3E7F"/>
    <w:rsid w:val="53A1F6DA"/>
    <w:rsid w:val="53AB3BB8"/>
    <w:rsid w:val="53ACF61D"/>
    <w:rsid w:val="545BD9C4"/>
    <w:rsid w:val="546524E1"/>
    <w:rsid w:val="559E12D6"/>
    <w:rsid w:val="55CF9646"/>
    <w:rsid w:val="55ED2552"/>
    <w:rsid w:val="56211C24"/>
    <w:rsid w:val="5706FBFC"/>
    <w:rsid w:val="5719452C"/>
    <w:rsid w:val="5726046B"/>
    <w:rsid w:val="582A8D65"/>
    <w:rsid w:val="5877FA33"/>
    <w:rsid w:val="589012BD"/>
    <w:rsid w:val="590D8DA9"/>
    <w:rsid w:val="5987CA01"/>
    <w:rsid w:val="5A440D21"/>
    <w:rsid w:val="5A6C7AD5"/>
    <w:rsid w:val="5AB38B1D"/>
    <w:rsid w:val="5AD74341"/>
    <w:rsid w:val="5B3906CB"/>
    <w:rsid w:val="5C3E8486"/>
    <w:rsid w:val="5CFA6069"/>
    <w:rsid w:val="5D5DB8D4"/>
    <w:rsid w:val="5DF78D76"/>
    <w:rsid w:val="5E8429A3"/>
    <w:rsid w:val="5EA22E43"/>
    <w:rsid w:val="5EC66ED7"/>
    <w:rsid w:val="5F3D72CF"/>
    <w:rsid w:val="5F9E1C2B"/>
    <w:rsid w:val="6098CDAA"/>
    <w:rsid w:val="60C7C887"/>
    <w:rsid w:val="61153C8A"/>
    <w:rsid w:val="61180B67"/>
    <w:rsid w:val="61B75D8D"/>
    <w:rsid w:val="61DD6BEC"/>
    <w:rsid w:val="6216D2A8"/>
    <w:rsid w:val="622689D8"/>
    <w:rsid w:val="6232EDB7"/>
    <w:rsid w:val="626FB2A5"/>
    <w:rsid w:val="62CE7ADD"/>
    <w:rsid w:val="62ECA0C1"/>
    <w:rsid w:val="62F2C3F3"/>
    <w:rsid w:val="6349277E"/>
    <w:rsid w:val="642411C4"/>
    <w:rsid w:val="644CF60B"/>
    <w:rsid w:val="64549EA1"/>
    <w:rsid w:val="654F62CF"/>
    <w:rsid w:val="660CBF45"/>
    <w:rsid w:val="660DCB9A"/>
    <w:rsid w:val="660FA104"/>
    <w:rsid w:val="66A3DF2E"/>
    <w:rsid w:val="670AC95B"/>
    <w:rsid w:val="67361B00"/>
    <w:rsid w:val="67B61B36"/>
    <w:rsid w:val="6843E226"/>
    <w:rsid w:val="685194E3"/>
    <w:rsid w:val="688B41BB"/>
    <w:rsid w:val="6890BBCA"/>
    <w:rsid w:val="695D8BF2"/>
    <w:rsid w:val="6962CF66"/>
    <w:rsid w:val="699F68E0"/>
    <w:rsid w:val="6A5260FA"/>
    <w:rsid w:val="6B3DDF2E"/>
    <w:rsid w:val="6C00CEC2"/>
    <w:rsid w:val="6C05E494"/>
    <w:rsid w:val="6C4E5515"/>
    <w:rsid w:val="6C7BE53B"/>
    <w:rsid w:val="6D191741"/>
    <w:rsid w:val="6D444EC6"/>
    <w:rsid w:val="6D9A11F3"/>
    <w:rsid w:val="6D9FC70C"/>
    <w:rsid w:val="6DCBB0B7"/>
    <w:rsid w:val="6E03B99A"/>
    <w:rsid w:val="6E14EFBE"/>
    <w:rsid w:val="6E27AB59"/>
    <w:rsid w:val="6E5D4DF4"/>
    <w:rsid w:val="6E82F065"/>
    <w:rsid w:val="6F8C2520"/>
    <w:rsid w:val="6FAD3B6D"/>
    <w:rsid w:val="703AADB2"/>
    <w:rsid w:val="70684D40"/>
    <w:rsid w:val="717F6ED0"/>
    <w:rsid w:val="71E50279"/>
    <w:rsid w:val="72014F8B"/>
    <w:rsid w:val="72383F55"/>
    <w:rsid w:val="726868D4"/>
    <w:rsid w:val="73358FD1"/>
    <w:rsid w:val="7381D44C"/>
    <w:rsid w:val="739662AD"/>
    <w:rsid w:val="73CC67C0"/>
    <w:rsid w:val="73CCCFB1"/>
    <w:rsid w:val="73D70A42"/>
    <w:rsid w:val="7475DE9E"/>
    <w:rsid w:val="74A3ABF9"/>
    <w:rsid w:val="75850FCE"/>
    <w:rsid w:val="75870CE6"/>
    <w:rsid w:val="758E3E5D"/>
    <w:rsid w:val="76EF0CA7"/>
    <w:rsid w:val="76F72A38"/>
    <w:rsid w:val="772EE00E"/>
    <w:rsid w:val="773076DB"/>
    <w:rsid w:val="774E3F1B"/>
    <w:rsid w:val="7783FEAB"/>
    <w:rsid w:val="77CEAEAB"/>
    <w:rsid w:val="786E2070"/>
    <w:rsid w:val="795AD440"/>
    <w:rsid w:val="7A1BFD92"/>
    <w:rsid w:val="7A82AC09"/>
    <w:rsid w:val="7B3F8EA4"/>
    <w:rsid w:val="7B8BAE77"/>
    <w:rsid w:val="7BA46D5D"/>
    <w:rsid w:val="7BD09FBE"/>
    <w:rsid w:val="7C3DCEC8"/>
    <w:rsid w:val="7C828259"/>
    <w:rsid w:val="7CF956F5"/>
    <w:rsid w:val="7D0FC063"/>
    <w:rsid w:val="7D934B52"/>
    <w:rsid w:val="7D96D2A0"/>
    <w:rsid w:val="7E8AF4EA"/>
    <w:rsid w:val="7E9EA0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FB7F"/>
  <w15:chartTrackingRefBased/>
  <w15:docId w15:val="{E738F595-AE6B-4446-92BE-D88E1D1F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Sarvamangala Nambiar</cp:lastModifiedBy>
  <cp:revision>13</cp:revision>
  <dcterms:created xsi:type="dcterms:W3CDTF">2024-12-12T00:03:00Z</dcterms:created>
  <dcterms:modified xsi:type="dcterms:W3CDTF">2025-01-04T18:30:00Z</dcterms:modified>
</cp:coreProperties>
</file>