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4"/>
        </w:rPr>
        <w:t>Sarthak Srivastava</w:t>
      </w:r>
    </w:p>
    <w:p>
      <w:pPr>
        <w:spacing w:before="0" w:after="40"/>
        <w:jc w:val="center"/>
      </w:pPr>
      <w:r>
        <w:rPr>
          <w:rFonts w:ascii="Arial" w:hAnsi="Arial"/>
          <w:b/>
          <w:color w:val="1E3A8A"/>
          <w:sz w:val="17"/>
        </w:rPr>
        <w:t>Python Backend Developer · Systems Architect · CTO @ DevQBX</w:t>
      </w:r>
    </w:p>
    <w:p>
      <w:pPr>
        <w:spacing w:before="0" w:after="100"/>
        <w:jc w:val="center"/>
        <w:pBdr>
          <w:bottom w:val="single" w:sz="12" w:space="3" w:color="0F172A"/>
        </w:pBdr>
      </w:pPr>
      <w:r>
        <w:rPr>
          <w:rFonts w:ascii="Arial" w:hAnsi="Arial"/>
          <w:color w:val="475569"/>
          <w:sz w:val="16"/>
        </w:rPr>
        <w:t>Kanpur, Uttar Pradesh, India   |   ss8971132@gmail.com   |   +91 7985040858   |   sarthakml.in   |   github.com/sarvasva-dev   |   linkedin.com/in/sarvasva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PROFESSIONAL SUMMARY</w:t>
      </w:r>
    </w:p>
    <w:p>
      <w:pPr>
        <w:spacing w:before="20" w:after="80"/>
      </w:pPr>
      <w:r>
        <w:rPr>
          <w:rFonts w:ascii="Arial" w:hAnsi="Arial"/>
          <w:color w:val="334155"/>
          <w:sz w:val="17"/>
        </w:rPr>
        <w:t>3rd-year BCA student at VSICS Kanpur (CSJMU) with proven experience architecting high-concurrency asynchronous backend services, event-driven pipelines, and relational database schemas. Hands-on proficiency in Python (AsyncIO, FastAPI, aiohttp), PostgreSQL, SQLite WAL concurrency, and Linux VPS hardening.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TECHNICAL SKILLS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Languages: </w:t>
      </w:r>
      <w:r>
        <w:rPr>
          <w:rFonts w:ascii="Arial" w:hAnsi="Arial"/>
          <w:color w:val="334155"/>
          <w:sz w:val="16"/>
        </w:rPr>
        <w:t>Python (AsyncIO, Pydantic, SQLAlchemy), SQL, TypeScript, JavaScript, C, Java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Frameworks &amp; APIs: </w:t>
      </w:r>
      <w:r>
        <w:rPr>
          <w:rFonts w:ascii="Arial" w:hAnsi="Arial"/>
          <w:color w:val="334155"/>
          <w:sz w:val="16"/>
        </w:rPr>
        <w:t>FastAPI, aiohttp, REST APIs, WebSockets, Next.js 16, Uvicorn, OpenAPI/Swagger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Databases &amp; Cloud: </w:t>
      </w:r>
      <w:r>
        <w:rPr>
          <w:rFonts w:ascii="Arial" w:hAnsi="Arial"/>
          <w:color w:val="334155"/>
          <w:sz w:val="16"/>
        </w:rPr>
        <w:t>PostgreSQL, SQLite (WAL mode, busy-timeout queues), Supabase, Redis, Linux VPS Hardening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Systems &amp; Tools: </w:t>
      </w:r>
      <w:r>
        <w:rPr>
          <w:rFonts w:ascii="Arial" w:hAnsi="Arial"/>
          <w:color w:val="334155"/>
          <w:sz w:val="16"/>
        </w:rPr>
        <w:t>Docker, Git/GitHub, Systemd, APScheduler, Tesseract OCR, PyMuPDF, Render, Nginx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WORK EXPERIENCE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Chief Technology Officer (CTO)</w:t>
      </w:r>
      <w:r>
        <w:rPr>
          <w:rFonts w:ascii="Arial" w:hAnsi="Arial"/>
          <w:b/>
          <w:color w:val="1E3A8A"/>
          <w:sz w:val="16"/>
        </w:rPr>
        <w:t xml:space="preserve"> · DevQBX · devqbx.in</w:t>
      </w:r>
      <w:r>
        <w:rPr>
          <w:rFonts w:ascii="Arial" w:hAnsi="Arial"/>
          <w:color w:val="64748B"/>
          <w:sz w:val="15"/>
        </w:rPr>
        <w:t xml:space="preserve">    (07/2026 – Present | Kanpur / Remote)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Directing system architecture for 500+ builder community — engineering standards, hackathon platform (QBX Arena), and API integrations.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Mentoring developers on async backend patterns, API contract design, and production deployment reliability.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Project Manager &amp; Systems Architect</w:t>
      </w:r>
      <w:r>
        <w:rPr>
          <w:rFonts w:ascii="Arial" w:hAnsi="Arial"/>
          <w:b/>
          <w:color w:val="1E3A8A"/>
          <w:sz w:val="16"/>
        </w:rPr>
        <w:t xml:space="preserve"> · Sitekraft.dev · sitekraft.dev</w:t>
      </w:r>
      <w:r>
        <w:rPr>
          <w:rFonts w:ascii="Arial" w:hAnsi="Arial"/>
          <w:color w:val="64748B"/>
          <w:sz w:val="15"/>
        </w:rPr>
        <w:t xml:space="preserve">    (03/2026 – Present | Remote)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Architected BulkBeat TV Telegram engine; engineered 22-rule AI scoring and &lt;5s alert latency on 1GB VPS for paying subscribers.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Implemented SQLite WAL concurrency (30s busy-timeout), automated billing pipelines, and hardened Linux VPS deployments.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KEY ENGINEERING PROJECTS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BulkBeat TV — Real-Time Market Intelligence Engine (bulkbeattv.com)</w:t>
      </w:r>
      <w:r>
        <w:rPr>
          <w:rFonts w:ascii="Arial" w:hAnsi="Arial"/>
          <w:color w:val="475569"/>
          <w:sz w:val="16"/>
        </w:rPr>
        <w:t xml:space="preserve"> — Systems Architect &amp; Backend Lead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Engineered an event-driven ingestion engine in Python AsyncIO, scanning 5+ live exchange/media feeds with sub-5s Telegram Webhook alert delivery.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Implemented 22-rule deterministic AI scoring eliminating 90%+ market noise; built cookie warming and identity rotation routines to bypass bot blocks.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Optimized SQLite with Write-Ahead Logging (WAL) and 30s busy-timeout queues; scaled to 6,000+ active users and ₹1.11L revenue within months.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SmartGalla — Geospatial Hyperlocal Commerce Platform</w:t>
      </w:r>
      <w:r>
        <w:rPr>
          <w:rFonts w:ascii="Arial" w:hAnsi="Arial"/>
          <w:color w:val="475569"/>
          <w:sz w:val="16"/>
        </w:rPr>
        <w:t xml:space="preserve"> — Backend &amp; Database Engineer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Engineered Point-in-Polygon geofencing with in-memory LRU cache, delivering sub-100ms merchant spatial queries and atomic PostgreSQL ledgers.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Designed multi-tenant schema with 50+ migrations, Row-Level Security (RLS) policies, and atomic credit/cash-on-delivery payment ledgers.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Piloted across 4–5 local Kirana shops in Kanpur; validated spatial delta replication before sunsetting due to hosting infrastructure costs.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College Student Management System (CSMS) — Cloud Educational ERP</w:t>
      </w:r>
      <w:r>
        <w:rPr>
          <w:rFonts w:ascii="Arial" w:hAnsi="Arial"/>
          <w:color w:val="475569"/>
          <w:sz w:val="16"/>
        </w:rPr>
        <w:t xml:space="preserve"> — Backend Engineer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Developed cloud-native Educational ERP REST API in FastAPI (Python) and PostgreSQL featuring 28 endpoints with automated OpenAPI docs.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Architected 4-tier Role-Based Access Control (HOD, Section Incharge, Faculty, Student) using JWT authentication and bcrypt password hashing.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Enforced composite relational constraints (student_id, record_date) for attendance logging (&lt;75% warning trigger) and automated grade evaluation.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DocRoute — Adaptive Document Intelligence Engine</w:t>
      </w:r>
      <w:r>
        <w:rPr>
          <w:rFonts w:ascii="Arial" w:hAnsi="Arial"/>
          <w:color w:val="475569"/>
          <w:sz w:val="16"/>
        </w:rPr>
        <w:t xml:space="preserve"> — Systems Engineer · Status: Under Development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Architecting modular document extraction engine combining PyMuPDF native vector text parsing with an OCR fallback pipeline for scanned pages.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Designing quality-assessment routing heuristic that inspects character density and rendering resolution before invoking OCR workers.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Structuring unified JSON schema with extraction provenance for downstream NLP pipelines (benchmarks reserved until full evaluation).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EDUCATION</w:t>
      </w:r>
    </w:p>
    <w:p>
      <w:pPr>
        <w:spacing w:before="20" w:after="40"/>
      </w:pPr>
      <w:r>
        <w:rPr>
          <w:rFonts w:ascii="Arial" w:hAnsi="Arial"/>
          <w:b/>
          <w:color w:val="0F172A"/>
          <w:sz w:val="17"/>
        </w:rPr>
        <w:t>Bachelor of Computer Applications (BCA)</w:t>
      </w:r>
      <w:r>
        <w:rPr>
          <w:rFonts w:ascii="Arial" w:hAnsi="Arial"/>
          <w:color w:val="334155"/>
          <w:sz w:val="16"/>
        </w:rPr>
        <w:t xml:space="preserve"> — Dr. Virendra Swarup Institute of Computer Studies (VSICS), CSJM University, Kanpur</w:t>
      </w:r>
      <w:r>
        <w:rPr>
          <w:rFonts w:ascii="Arial" w:hAnsi="Arial"/>
          <w:color w:val="64748B"/>
          <w:sz w:val="16"/>
        </w:rPr>
        <w:t xml:space="preserve">    (2024 – 2027 | CGPA: 8.0 / 10 · Target SGPA: &gt;= 9.0)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CERTIFICATIONS &amp; HONORS</w:t>
      </w:r>
    </w:p>
    <w:p>
      <w:pPr>
        <w:spacing w:before="20" w:after="0"/>
      </w:pPr>
      <w:r>
        <w:rPr>
          <w:rFonts w:ascii="Arial" w:hAnsi="Arial"/>
          <w:color w:val="334155"/>
          <w:sz w:val="16"/>
        </w:rPr>
        <w:t>Generative AI &amp; Data Analytics — Simplilearn (Distinction)   •   ML Internship — CodSoft (Distinction)   •   Azure Cloud — VSICS   •   National Hackathon Finalist — ECLearnix (Distinction)</w:t>
      </w:r>
    </w:p>
    <w:sectPr w:rsidR="00FC693F" w:rsidRPr="0006063C" w:rsidSect="00034616"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