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UPI Fraud Dataset Reference Guide</w:t>
      </w:r>
    </w:p>
    <w:p>
      <w:pPr>
        <w:pStyle w:val="Heading2"/>
      </w:pPr>
      <w:r>
        <w:t>State Code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 Code</w:t>
            </w:r>
          </w:p>
        </w:tc>
        <w:tc>
          <w:tcPr>
            <w:tcW w:type="dxa" w:w="4320"/>
          </w:tcPr>
          <w:p>
            <w:r>
              <w:t>State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Andhra Pradesh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Arunachal Pradesh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Assam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Chhattisgarh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Goa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Haryana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Himachal Pradesh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Jharkhand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Karnataka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Kerala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Madhya Pradesh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Maharashtra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Manipur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Meghalaya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Mizoram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Nagaland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Odisha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Punjab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Sikkim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Tamil Nadu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Telangana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Tripura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Uttarakhand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</w:tbl>
    <w:p/>
    <w:p>
      <w:pPr>
        <w:pStyle w:val="Heading2"/>
      </w:pPr>
      <w:r>
        <w:t>Category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 Code</w:t>
            </w:r>
          </w:p>
        </w:tc>
        <w:tc>
          <w:tcPr>
            <w:tcW w:type="dxa" w:w="4320"/>
          </w:tcPr>
          <w:p>
            <w:r>
              <w:t>Category Name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Entertainment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Food Dining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Gas Transport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Grocery NET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Grocery POS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Health Fitness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Kids Pets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Miscellaneous NET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Miscellaneous POS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Personal Care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Shopping NET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