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D522F" w14:textId="77777777" w:rsidR="008F0897" w:rsidRPr="00724AE6" w:rsidRDefault="00000000">
      <w:pPr>
        <w:spacing w:after="120"/>
        <w:jc w:val="center"/>
        <w:rPr>
          <w:color w:val="E97132" w:themeColor="accent2"/>
        </w:rPr>
      </w:pPr>
      <w:r w:rsidRPr="00724AE6">
        <w:rPr>
          <w:b/>
          <w:bCs/>
          <w:color w:val="E97132" w:themeColor="accent2"/>
          <w:sz w:val="36"/>
          <w:szCs w:val="36"/>
        </w:rPr>
        <w:t>Validation of the Composite Surgical Metrics Score</w:t>
      </w:r>
    </w:p>
    <w:p w14:paraId="3EC133A3" w14:textId="77777777" w:rsidR="008F0897" w:rsidRDefault="00000000">
      <w:pPr>
        <w:pStyle w:val="Heading1"/>
        <w:pBdr>
          <w:bottom w:val="single" w:sz="4" w:space="4" w:color="2D6A9F"/>
        </w:pBdr>
      </w:pPr>
      <w:r>
        <w:t>Executive Summary</w:t>
      </w:r>
    </w:p>
    <w:p w14:paraId="14E6C657" w14:textId="77777777" w:rsidR="008F0897" w:rsidRDefault="00000000">
      <w:pPr>
        <w:spacing w:after="100"/>
        <w:jc w:val="both"/>
      </w:pPr>
      <w:r>
        <w:t xml:space="preserve">This report evaluates whether the composite surgical metrics score (0-100), derived from 8 tool-tracking metrics across 300 endoscopic procedures, is a clinically valid measure of surgical quality. Using 120 procedures with linked clinical outcomes, we assessed the score's construction, its association with patient outcomes, and the influence of surgeon-level effects. Our findings suggest the score has </w:t>
      </w:r>
      <w:r>
        <w:rPr>
          <w:b/>
          <w:bCs/>
        </w:rPr>
        <w:t>limited clinical validity in its current form</w:t>
      </w:r>
      <w:r>
        <w:t>, primarily due to unbalanced metric weighting, lack of significant association with any clinical outcome, and strong confounding by surgeon identity.</w:t>
      </w:r>
    </w:p>
    <w:p w14:paraId="7453AE13" w14:textId="77777777" w:rsidR="008F0897" w:rsidRDefault="00000000">
      <w:pPr>
        <w:pStyle w:val="Heading1"/>
        <w:pBdr>
          <w:bottom w:val="single" w:sz="4" w:space="4" w:color="2D6A9F"/>
        </w:pBdr>
      </w:pPr>
      <w:r>
        <w:t>1. Score Construction and Internal Validity</w:t>
      </w:r>
    </w:p>
    <w:p w14:paraId="494A1121" w14:textId="77777777" w:rsidR="008F0897" w:rsidRDefault="00000000">
      <w:pPr>
        <w:pStyle w:val="Heading2"/>
      </w:pPr>
      <w:r>
        <w:t>1.1 Metric Weighting</w:t>
      </w:r>
    </w:p>
    <w:p w14:paraId="397FED24" w14:textId="77777777" w:rsidR="008F0897" w:rsidRDefault="00000000">
      <w:pPr>
        <w:spacing w:after="100"/>
        <w:jc w:val="both"/>
      </w:pPr>
      <w:r>
        <w:t>All 8 individual metrics showed statistically significant correlations with the composite score (all p &lt; 0.001), confirming the score reflects its constituent metrics. However, the weighting is unbalanced: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1"/>
        <w:gridCol w:w="1820"/>
        <w:gridCol w:w="1800"/>
        <w:gridCol w:w="1782"/>
        <w:gridCol w:w="1807"/>
      </w:tblGrid>
      <w:tr w:rsidR="008F0897" w14:paraId="7C49CD0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942DC" w14:textId="77777777" w:rsidR="008F08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6E863" w14:textId="77777777" w:rsidR="008F08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Correlation (r)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DD82E" w14:textId="77777777" w:rsidR="008F08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Relative Weight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B6215" w14:textId="77777777" w:rsidR="008F08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p-value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EA5C1" w14:textId="77777777" w:rsidR="008F08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Direction</w:t>
            </w:r>
          </w:p>
        </w:tc>
      </w:tr>
      <w:tr w:rsidR="008F0897" w14:paraId="0BFA6B0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C7A2A" w14:textId="77777777" w:rsidR="008F0897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path_efficiency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75C46" w14:textId="77777777" w:rsidR="008F0897" w:rsidRDefault="00000000">
            <w:pPr>
              <w:jc w:val="center"/>
            </w:pPr>
            <w:r>
              <w:rPr>
                <w:sz w:val="18"/>
                <w:szCs w:val="18"/>
              </w:rPr>
              <w:t>+0.590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BBA0D" w14:textId="77777777" w:rsidR="008F0897" w:rsidRDefault="00000000">
            <w:pPr>
              <w:jc w:val="center"/>
            </w:pPr>
            <w:r>
              <w:rPr>
                <w:sz w:val="18"/>
                <w:szCs w:val="18"/>
              </w:rPr>
              <w:t>~20%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D6FA6" w14:textId="77777777" w:rsidR="008F0897" w:rsidRDefault="00000000">
            <w:pPr>
              <w:jc w:val="center"/>
            </w:pPr>
            <w:r>
              <w:rPr>
                <w:sz w:val="18"/>
                <w:szCs w:val="18"/>
              </w:rPr>
              <w:t>&lt; 0.001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0EE7F" w14:textId="77777777" w:rsidR="008F0897" w:rsidRDefault="00000000">
            <w:pPr>
              <w:jc w:val="center"/>
            </w:pPr>
            <w:r>
              <w:rPr>
                <w:sz w:val="18"/>
                <w:szCs w:val="18"/>
              </w:rPr>
              <w:t>Higher = better</w:t>
            </w:r>
          </w:p>
        </w:tc>
      </w:tr>
      <w:tr w:rsidR="008F0897" w14:paraId="26C63AA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802A5" w14:textId="77777777" w:rsidR="008F0897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tool_switching_per_min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A4263" w14:textId="77777777" w:rsidR="008F0897" w:rsidRDefault="00000000">
            <w:pPr>
              <w:jc w:val="center"/>
            </w:pPr>
            <w:r>
              <w:rPr>
                <w:sz w:val="18"/>
                <w:szCs w:val="18"/>
              </w:rPr>
              <w:t>-0.470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1D6FD" w14:textId="77777777" w:rsidR="008F0897" w:rsidRDefault="00000000">
            <w:pPr>
              <w:jc w:val="center"/>
            </w:pPr>
            <w:r>
              <w:rPr>
                <w:sz w:val="18"/>
                <w:szCs w:val="18"/>
              </w:rPr>
              <w:t>~18%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167AD" w14:textId="77777777" w:rsidR="008F0897" w:rsidRDefault="00000000">
            <w:pPr>
              <w:jc w:val="center"/>
            </w:pPr>
            <w:r>
              <w:rPr>
                <w:sz w:val="18"/>
                <w:szCs w:val="18"/>
              </w:rPr>
              <w:t>&lt; 0.001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3216D" w14:textId="77777777" w:rsidR="008F0897" w:rsidRDefault="00000000">
            <w:pPr>
              <w:jc w:val="center"/>
            </w:pPr>
            <w:r>
              <w:rPr>
                <w:sz w:val="18"/>
                <w:szCs w:val="18"/>
              </w:rPr>
              <w:t>Lower = better</w:t>
            </w:r>
          </w:p>
        </w:tc>
      </w:tr>
      <w:tr w:rsidR="008F0897" w14:paraId="28DEFC8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5BDCA" w14:textId="77777777" w:rsidR="008F0897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site_visibility_pct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EB80A" w14:textId="77777777" w:rsidR="008F0897" w:rsidRDefault="00000000">
            <w:pPr>
              <w:jc w:val="center"/>
            </w:pPr>
            <w:r>
              <w:rPr>
                <w:sz w:val="18"/>
                <w:szCs w:val="18"/>
              </w:rPr>
              <w:t>+0.372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72050" w14:textId="77777777" w:rsidR="008F0897" w:rsidRDefault="00000000">
            <w:pPr>
              <w:jc w:val="center"/>
            </w:pPr>
            <w:r>
              <w:rPr>
                <w:sz w:val="18"/>
                <w:szCs w:val="18"/>
              </w:rPr>
              <w:t>~11%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F7E3F" w14:textId="77777777" w:rsidR="008F0897" w:rsidRDefault="00000000">
            <w:pPr>
              <w:jc w:val="center"/>
            </w:pPr>
            <w:r>
              <w:rPr>
                <w:sz w:val="18"/>
                <w:szCs w:val="18"/>
              </w:rPr>
              <w:t>&lt; 0.001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B00EB" w14:textId="77777777" w:rsidR="008F0897" w:rsidRDefault="00000000">
            <w:pPr>
              <w:jc w:val="center"/>
            </w:pPr>
            <w:r>
              <w:rPr>
                <w:sz w:val="18"/>
                <w:szCs w:val="18"/>
              </w:rPr>
              <w:t>Higher = better</w:t>
            </w:r>
          </w:p>
        </w:tc>
      </w:tr>
      <w:tr w:rsidR="008F0897" w14:paraId="2E466BE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AB9FD" w14:textId="77777777" w:rsidR="008F0897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movement_smoothness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DC474" w14:textId="77777777" w:rsidR="008F0897" w:rsidRDefault="00000000">
            <w:pPr>
              <w:jc w:val="center"/>
            </w:pPr>
            <w:r>
              <w:rPr>
                <w:sz w:val="18"/>
                <w:szCs w:val="18"/>
              </w:rPr>
              <w:t>+0.369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649B2" w14:textId="77777777" w:rsidR="008F0897" w:rsidRDefault="00000000">
            <w:pPr>
              <w:jc w:val="center"/>
            </w:pPr>
            <w:r>
              <w:rPr>
                <w:sz w:val="18"/>
                <w:szCs w:val="18"/>
              </w:rPr>
              <w:t>~5.6%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5E3F0" w14:textId="77777777" w:rsidR="008F0897" w:rsidRDefault="00000000">
            <w:pPr>
              <w:jc w:val="center"/>
            </w:pPr>
            <w:r>
              <w:rPr>
                <w:sz w:val="18"/>
                <w:szCs w:val="18"/>
              </w:rPr>
              <w:t>&lt; 0.001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669D1" w14:textId="77777777" w:rsidR="008F0897" w:rsidRDefault="00000000">
            <w:pPr>
              <w:jc w:val="center"/>
            </w:pPr>
            <w:r>
              <w:rPr>
                <w:sz w:val="18"/>
                <w:szCs w:val="18"/>
              </w:rPr>
              <w:t>Higher = better</w:t>
            </w:r>
          </w:p>
        </w:tc>
      </w:tr>
      <w:tr w:rsidR="008F0897" w14:paraId="037BE34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5D20F" w14:textId="77777777" w:rsidR="008F0897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idle_time_pct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86730" w14:textId="77777777" w:rsidR="008F0897" w:rsidRDefault="00000000">
            <w:pPr>
              <w:jc w:val="center"/>
            </w:pPr>
            <w:r>
              <w:rPr>
                <w:sz w:val="18"/>
                <w:szCs w:val="18"/>
              </w:rPr>
              <w:t>-0.339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B58D5" w14:textId="77777777" w:rsidR="008F0897" w:rsidRDefault="00000000">
            <w:pPr>
              <w:jc w:val="center"/>
            </w:pPr>
            <w:r>
              <w:rPr>
                <w:sz w:val="18"/>
                <w:szCs w:val="18"/>
              </w:rPr>
              <w:t>~10%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BA64A" w14:textId="77777777" w:rsidR="008F0897" w:rsidRDefault="00000000">
            <w:pPr>
              <w:jc w:val="center"/>
            </w:pPr>
            <w:r>
              <w:rPr>
                <w:sz w:val="18"/>
                <w:szCs w:val="18"/>
              </w:rPr>
              <w:t>&lt; 0.001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74696" w14:textId="77777777" w:rsidR="008F0897" w:rsidRDefault="00000000">
            <w:pPr>
              <w:jc w:val="center"/>
            </w:pPr>
            <w:r>
              <w:rPr>
                <w:sz w:val="18"/>
                <w:szCs w:val="18"/>
              </w:rPr>
              <w:t>Lower = better</w:t>
            </w:r>
          </w:p>
        </w:tc>
      </w:tr>
      <w:tr w:rsidR="008F0897" w14:paraId="4EA1568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BCFA6" w14:textId="77777777" w:rsidR="008F0897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workspace_coverage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9E282" w14:textId="77777777" w:rsidR="008F0897" w:rsidRDefault="00000000">
            <w:pPr>
              <w:jc w:val="center"/>
            </w:pPr>
            <w:r>
              <w:rPr>
                <w:sz w:val="18"/>
                <w:szCs w:val="18"/>
              </w:rPr>
              <w:t>+0.295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3487A" w14:textId="77777777" w:rsidR="008F0897" w:rsidRDefault="00000000">
            <w:pPr>
              <w:jc w:val="center"/>
            </w:pPr>
            <w:r>
              <w:rPr>
                <w:sz w:val="18"/>
                <w:szCs w:val="18"/>
              </w:rPr>
              <w:t>~9%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05374" w14:textId="77777777" w:rsidR="008F0897" w:rsidRDefault="00000000">
            <w:pPr>
              <w:jc w:val="center"/>
            </w:pPr>
            <w:r>
              <w:rPr>
                <w:sz w:val="18"/>
                <w:szCs w:val="18"/>
              </w:rPr>
              <w:t>&lt; 0.001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E4888" w14:textId="77777777" w:rsidR="008F0897" w:rsidRDefault="00000000">
            <w:pPr>
              <w:jc w:val="center"/>
            </w:pPr>
            <w:r>
              <w:rPr>
                <w:sz w:val="18"/>
                <w:szCs w:val="18"/>
              </w:rPr>
              <w:t>Higher = better</w:t>
            </w:r>
          </w:p>
        </w:tc>
      </w:tr>
      <w:tr w:rsidR="008F0897" w14:paraId="022C4F2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08F8C" w14:textId="77777777" w:rsidR="008F0897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two_tools_pct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FAAED" w14:textId="77777777" w:rsidR="008F0897" w:rsidRDefault="00000000">
            <w:pPr>
              <w:jc w:val="center"/>
            </w:pPr>
            <w:r>
              <w:rPr>
                <w:sz w:val="18"/>
                <w:szCs w:val="18"/>
              </w:rPr>
              <w:t>+0.294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D215D" w14:textId="77777777" w:rsidR="008F0897" w:rsidRDefault="00000000">
            <w:pPr>
              <w:jc w:val="center"/>
            </w:pPr>
            <w:r>
              <w:rPr>
                <w:sz w:val="18"/>
                <w:szCs w:val="18"/>
              </w:rPr>
              <w:t>~9%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5A967" w14:textId="77777777" w:rsidR="008F0897" w:rsidRDefault="00000000">
            <w:pPr>
              <w:jc w:val="center"/>
            </w:pPr>
            <w:r>
              <w:rPr>
                <w:sz w:val="18"/>
                <w:szCs w:val="18"/>
              </w:rPr>
              <w:t>&lt; 0.001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0AC3D" w14:textId="77777777" w:rsidR="008F0897" w:rsidRDefault="00000000">
            <w:pPr>
              <w:jc w:val="center"/>
            </w:pPr>
            <w:r>
              <w:rPr>
                <w:sz w:val="18"/>
                <w:szCs w:val="18"/>
              </w:rPr>
              <w:t>Higher = better</w:t>
            </w:r>
          </w:p>
        </w:tc>
      </w:tr>
      <w:tr w:rsidR="008F0897" w14:paraId="5B29945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4EDA5" w14:textId="77777777" w:rsidR="008F0897" w:rsidRDefault="00000000">
            <w:pPr>
              <w:jc w:val="center"/>
            </w:pPr>
            <w:r>
              <w:rPr>
                <w:sz w:val="18"/>
                <w:szCs w:val="18"/>
              </w:rPr>
              <w:t>speed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DBD6C" w14:textId="77777777" w:rsidR="008F0897" w:rsidRDefault="00000000">
            <w:pPr>
              <w:jc w:val="center"/>
            </w:pPr>
            <w:r>
              <w:rPr>
                <w:sz w:val="18"/>
                <w:szCs w:val="18"/>
              </w:rPr>
              <w:t>-0.280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8809F" w14:textId="77777777" w:rsidR="008F0897" w:rsidRDefault="00000000">
            <w:pPr>
              <w:jc w:val="center"/>
            </w:pPr>
            <w:r>
              <w:rPr>
                <w:sz w:val="18"/>
                <w:szCs w:val="18"/>
              </w:rPr>
              <w:t>~8%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B29EE" w14:textId="77777777" w:rsidR="008F0897" w:rsidRDefault="00000000">
            <w:pPr>
              <w:jc w:val="center"/>
            </w:pPr>
            <w:r>
              <w:rPr>
                <w:sz w:val="18"/>
                <w:szCs w:val="18"/>
              </w:rPr>
              <w:t>&lt; 0.001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4706A" w14:textId="77777777" w:rsidR="008F0897" w:rsidRDefault="00000000">
            <w:pPr>
              <w:jc w:val="center"/>
            </w:pPr>
            <w:r>
              <w:rPr>
                <w:sz w:val="18"/>
                <w:szCs w:val="18"/>
              </w:rPr>
              <w:t>Lower = better</w:t>
            </w:r>
          </w:p>
        </w:tc>
      </w:tr>
    </w:tbl>
    <w:p w14:paraId="652D5F04" w14:textId="77777777" w:rsidR="008F0897" w:rsidRDefault="008F0897">
      <w:pPr>
        <w:spacing w:after="120"/>
      </w:pPr>
    </w:p>
    <w:p w14:paraId="18A3153E" w14:textId="44CD3EDE" w:rsidR="008F0897" w:rsidRDefault="00000000">
      <w:pPr>
        <w:spacing w:after="100"/>
        <w:jc w:val="both"/>
      </w:pPr>
      <w:proofErr w:type="spellStart"/>
      <w:r>
        <w:rPr>
          <w:b/>
          <w:bCs/>
        </w:rPr>
        <w:t>path_efficiency</w:t>
      </w:r>
      <w:proofErr w:type="spellEnd"/>
      <w:r>
        <w:t xml:space="preserve"> accounts for approximately 20% of composite score weight</w:t>
      </w:r>
      <w:r w:rsidR="00724AE6">
        <w:t>,</w:t>
      </w:r>
      <w:r>
        <w:t xml:space="preserve"> roughly twice that of </w:t>
      </w:r>
      <w:proofErr w:type="spellStart"/>
      <w:r>
        <w:rPr>
          <w:b/>
          <w:bCs/>
        </w:rPr>
        <w:t>movement_smoothness</w:t>
      </w:r>
      <w:proofErr w:type="spellEnd"/>
      <w:r>
        <w:t xml:space="preserve"> (5.6%), a metric widely considered clinically important in surgical training. This imbalance means a surgeon with poor </w:t>
      </w:r>
      <w:r w:rsidR="00724AE6">
        <w:t>smoothness,</w:t>
      </w:r>
      <w:r>
        <w:t xml:space="preserve"> but efficient paths can still achieve a high composite score.</w:t>
      </w:r>
    </w:p>
    <w:p w14:paraId="43729782" w14:textId="77777777" w:rsidR="008F0897" w:rsidRDefault="00000000">
      <w:pPr>
        <w:pStyle w:val="Heading2"/>
      </w:pPr>
      <w:r>
        <w:t>1.2 Unexplained Score Variance</w:t>
      </w:r>
    </w:p>
    <w:p w14:paraId="1E2B219B" w14:textId="77777777" w:rsidR="008F0897" w:rsidRDefault="00000000">
      <w:pPr>
        <w:spacing w:after="100"/>
        <w:jc w:val="both"/>
      </w:pPr>
      <w:r>
        <w:t>A multiple regression of all 8 metrics predicting the composite score yielded R</w:t>
      </w:r>
      <w:r>
        <w:rPr>
          <w:sz w:val="16"/>
          <w:szCs w:val="16"/>
          <w:vertAlign w:val="superscript"/>
        </w:rPr>
        <w:t>2</w:t>
      </w:r>
      <w:r>
        <w:t xml:space="preserve"> = 0.758. This means approximately </w:t>
      </w:r>
      <w:r>
        <w:rPr>
          <w:b/>
          <w:bCs/>
        </w:rPr>
        <w:t>24% of the score's variance cannot be explained by the 8 documented metrics</w:t>
      </w:r>
      <w:r>
        <w:t>, suggesting an undisclosed component, a non-linear formula element, or interaction terms not captured by linear modeling. This raises transparency concerns for a score intended for clinical use.</w:t>
      </w:r>
    </w:p>
    <w:p w14:paraId="77B506CE" w14:textId="77777777" w:rsidR="008F0897" w:rsidRDefault="00000000">
      <w:pPr>
        <w:pStyle w:val="Heading1"/>
        <w:pBdr>
          <w:bottom w:val="single" w:sz="4" w:space="4" w:color="2D6A9F"/>
        </w:pBdr>
      </w:pPr>
      <w:r>
        <w:t>2. Clinical Validity: Score vs. Patient Outcomes</w:t>
      </w:r>
    </w:p>
    <w:p w14:paraId="76D30252" w14:textId="77777777" w:rsidR="008F0897" w:rsidRDefault="00000000">
      <w:pPr>
        <w:spacing w:after="100"/>
        <w:jc w:val="both"/>
      </w:pPr>
      <w:r>
        <w:t>Using the 120-procedure outcomes subset, we tested the composite score against three clinical outcomes. None reached statistical significance: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F0897" w14:paraId="554B4FD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CFCCD" w14:textId="77777777" w:rsidR="008F08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Outcome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B056F" w14:textId="77777777" w:rsidR="008F08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Statistic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C5FAB" w14:textId="77777777" w:rsidR="008F08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p-value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F15FC" w14:textId="77777777" w:rsidR="008F08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Verdict</w:t>
            </w:r>
          </w:p>
        </w:tc>
      </w:tr>
      <w:tr w:rsidR="008F0897" w14:paraId="05324FD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2EF81" w14:textId="77777777" w:rsidR="008F0897" w:rsidRDefault="00000000">
            <w:pPr>
              <w:jc w:val="center"/>
            </w:pPr>
            <w:r>
              <w:rPr>
                <w:sz w:val="18"/>
                <w:szCs w:val="18"/>
              </w:rPr>
              <w:t>Complication (n=11 events)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B0021" w14:textId="77777777" w:rsidR="008F0897" w:rsidRDefault="00000000">
            <w:pPr>
              <w:jc w:val="center"/>
            </w:pPr>
            <w:r>
              <w:rPr>
                <w:sz w:val="18"/>
                <w:szCs w:val="18"/>
              </w:rPr>
              <w:t>AUC = 0.668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0CAC7" w14:textId="77777777" w:rsidR="008F0897" w:rsidRDefault="00000000">
            <w:pPr>
              <w:jc w:val="center"/>
            </w:pPr>
            <w:r>
              <w:rPr>
                <w:sz w:val="18"/>
                <w:szCs w:val="18"/>
              </w:rPr>
              <w:t>p = 0.067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0177F" w14:textId="77777777" w:rsidR="008F0897" w:rsidRDefault="00000000">
            <w:pPr>
              <w:jc w:val="center"/>
            </w:pPr>
            <w:r>
              <w:rPr>
                <w:sz w:val="18"/>
                <w:szCs w:val="18"/>
              </w:rPr>
              <w:t>Not significant</w:t>
            </w:r>
          </w:p>
        </w:tc>
      </w:tr>
      <w:tr w:rsidR="008F0897" w14:paraId="308526A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E73E6" w14:textId="77777777" w:rsidR="008F0897" w:rsidRDefault="00000000">
            <w:pPr>
              <w:jc w:val="center"/>
            </w:pPr>
            <w:r>
              <w:rPr>
                <w:sz w:val="18"/>
                <w:szCs w:val="18"/>
              </w:rPr>
              <w:t>Complete Resection (n=82)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13B9C" w14:textId="77777777" w:rsidR="008F0897" w:rsidRDefault="00000000">
            <w:pPr>
              <w:jc w:val="center"/>
            </w:pPr>
            <w:r>
              <w:rPr>
                <w:sz w:val="18"/>
                <w:szCs w:val="18"/>
              </w:rPr>
              <w:t>OR = 1.03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8AFA7" w14:textId="77777777" w:rsidR="008F0897" w:rsidRDefault="00000000">
            <w:pPr>
              <w:jc w:val="center"/>
            </w:pPr>
            <w:r>
              <w:rPr>
                <w:sz w:val="18"/>
                <w:szCs w:val="18"/>
              </w:rPr>
              <w:t>p = 0.067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78DBC" w14:textId="77777777" w:rsidR="008F0897" w:rsidRDefault="00000000">
            <w:pPr>
              <w:jc w:val="center"/>
            </w:pPr>
            <w:r>
              <w:rPr>
                <w:sz w:val="18"/>
                <w:szCs w:val="18"/>
              </w:rPr>
              <w:t>Not significant</w:t>
            </w:r>
          </w:p>
        </w:tc>
      </w:tr>
      <w:tr w:rsidR="008F0897" w14:paraId="51CC79C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7FDAC" w14:textId="77777777" w:rsidR="008F0897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Hospital Stay (n=120)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BB41C" w14:textId="77777777" w:rsidR="008F0897" w:rsidRDefault="00000000">
            <w:pPr>
              <w:jc w:val="center"/>
            </w:pPr>
            <w:r>
              <w:rPr>
                <w:sz w:val="18"/>
                <w:szCs w:val="18"/>
              </w:rPr>
              <w:t>r = -0.104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95D21" w14:textId="77777777" w:rsidR="008F0897" w:rsidRDefault="00000000">
            <w:pPr>
              <w:jc w:val="center"/>
            </w:pPr>
            <w:r>
              <w:rPr>
                <w:sz w:val="18"/>
                <w:szCs w:val="18"/>
              </w:rPr>
              <w:t>p = 0.257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6955B" w14:textId="77777777" w:rsidR="008F0897" w:rsidRDefault="00000000">
            <w:pPr>
              <w:jc w:val="center"/>
            </w:pPr>
            <w:r>
              <w:rPr>
                <w:sz w:val="18"/>
                <w:szCs w:val="18"/>
              </w:rPr>
              <w:t>Not significant</w:t>
            </w:r>
          </w:p>
        </w:tc>
      </w:tr>
    </w:tbl>
    <w:p w14:paraId="2C68D090" w14:textId="77777777" w:rsidR="008F0897" w:rsidRDefault="008F0897">
      <w:pPr>
        <w:spacing w:after="120"/>
      </w:pPr>
    </w:p>
    <w:p w14:paraId="4C15F529" w14:textId="758CFDC2" w:rsidR="008F0897" w:rsidRDefault="00000000">
      <w:pPr>
        <w:spacing w:after="100"/>
        <w:jc w:val="both"/>
      </w:pPr>
      <w:r>
        <w:t xml:space="preserve">Critically, after adjusting for surgeon identity and procedure length, the score's odds ratio for complication collapsed from 1.096 to 0.989 (p = 0.900), indicating that </w:t>
      </w:r>
      <w:r>
        <w:rPr>
          <w:b/>
          <w:bCs/>
        </w:rPr>
        <w:t>surgeon identity</w:t>
      </w:r>
      <w:r w:rsidR="00724AE6">
        <w:rPr>
          <w:b/>
          <w:bCs/>
        </w:rPr>
        <w:t xml:space="preserve">, </w:t>
      </w:r>
      <w:r>
        <w:rPr>
          <w:b/>
          <w:bCs/>
        </w:rPr>
        <w:t>not the composite score</w:t>
      </w:r>
      <w:r w:rsidR="00724AE6">
        <w:rPr>
          <w:b/>
          <w:bCs/>
        </w:rPr>
        <w:t xml:space="preserve">, </w:t>
      </w:r>
      <w:r>
        <w:rPr>
          <w:b/>
          <w:bCs/>
        </w:rPr>
        <w:t>was the primary driver of any apparent association with outcomes.</w:t>
      </w:r>
    </w:p>
    <w:p w14:paraId="016AFF5D" w14:textId="77777777" w:rsidR="008F0897" w:rsidRDefault="00000000">
      <w:pPr>
        <w:pStyle w:val="Heading1"/>
        <w:pBdr>
          <w:bottom w:val="single" w:sz="4" w:space="4" w:color="2D6A9F"/>
        </w:pBdr>
      </w:pPr>
      <w:r>
        <w:t>3. Surgeon-Level Effects</w:t>
      </w:r>
    </w:p>
    <w:p w14:paraId="00D3419F" w14:textId="77777777" w:rsidR="008F0897" w:rsidRDefault="00000000">
      <w:pPr>
        <w:spacing w:after="100"/>
        <w:jc w:val="both"/>
      </w:pPr>
      <w:r>
        <w:t>Procedures are nested within 10 surgeons, with case volumes ranging from 5 to 70 procedures per surgeon — a highly imbalanced structure. The Intraclass Correlation Coefficient (ICC) confirmed meaningful between-surgeon variance in composite scores, justifying the use of mixed-effects modeling.</w:t>
      </w:r>
    </w:p>
    <w:p w14:paraId="43891208" w14:textId="77777777" w:rsidR="008F0897" w:rsidRDefault="00000000">
      <w:pPr>
        <w:spacing w:after="100"/>
        <w:jc w:val="both"/>
      </w:pPr>
      <w:r>
        <w:t>A linear mixed-effects model (hospital stay ~ composite score + procedure length, surgeon as random effect) confirmed the score does not significantly predict hospital stay after accounting for surgeon clustering (p &gt; 0.05). No individual metric outperformed the composite score after FDR correction across 24 statistical tests.</w:t>
      </w:r>
    </w:p>
    <w:p w14:paraId="7C8594C1" w14:textId="77777777" w:rsidR="008F0897" w:rsidRDefault="00000000">
      <w:pPr>
        <w:pStyle w:val="Heading1"/>
        <w:pBdr>
          <w:bottom w:val="single" w:sz="4" w:space="4" w:color="2D6A9F"/>
        </w:pBdr>
      </w:pPr>
      <w:r>
        <w:t>4. Limitations</w:t>
      </w:r>
    </w:p>
    <w:p w14:paraId="2BA8AB86" w14:textId="77777777" w:rsidR="008F089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Underpowered for rare outcomes: </w:t>
      </w:r>
      <w:r>
        <w:t>Only 11 complication events out of 120 procedures. Standard power analysis suggests 50+ events are needed for reliable binary outcome modeling. A null result here does not prove the score is invalid.</w:t>
      </w:r>
    </w:p>
    <w:p w14:paraId="00C8ED74" w14:textId="77777777" w:rsidR="008F089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Unexplained score variance: </w:t>
      </w:r>
      <w:r>
        <w:t>R2 = 0.758 suggests the score formula contains undisclosed components, limiting our ability to fully audit its construction.</w:t>
      </w:r>
    </w:p>
    <w:p w14:paraId="374A3057" w14:textId="77777777" w:rsidR="008F089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Observational design: </w:t>
      </w:r>
      <w:r>
        <w:t>Causal conclusions cannot be drawn. Confounding by case complexity, patient comorbidities, and institutional factors is uncontrolled.</w:t>
      </w:r>
    </w:p>
    <w:p w14:paraId="342D5219" w14:textId="77777777" w:rsidR="008F089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Imbalanced surgeon representation: </w:t>
      </w:r>
      <w:r>
        <w:t>One surgeon contributed 70 of 300 cases. Surgeon-level estimates are unreliable for low-volume surgeons (n = 5 to 7).</w:t>
      </w:r>
    </w:p>
    <w:p w14:paraId="49B35BE1" w14:textId="77777777" w:rsidR="008F089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Generalizability: </w:t>
      </w:r>
      <w:r>
        <w:t>Synthetic data may not reflect real-world distributions of surgical complexity, patient risk, or metric variability.</w:t>
      </w:r>
    </w:p>
    <w:p w14:paraId="00D89591" w14:textId="77777777" w:rsidR="008F0897" w:rsidRDefault="00000000">
      <w:pPr>
        <w:pStyle w:val="Heading1"/>
        <w:pBdr>
          <w:bottom w:val="single" w:sz="4" w:space="4" w:color="2D6A9F"/>
        </w:pBdr>
      </w:pPr>
      <w:r>
        <w:t>5. Recommendations</w:t>
      </w:r>
    </w:p>
    <w:p w14:paraId="0FEE9274" w14:textId="77777777" w:rsidR="008F089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 not use the current score for clinical decision-making </w:t>
      </w:r>
      <w:r>
        <w:t>without further prospective validation on a larger, real-world dataset.</w:t>
      </w:r>
    </w:p>
    <w:p w14:paraId="4E751726" w14:textId="77777777" w:rsidR="008F089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Re-weight metrics </w:t>
      </w:r>
      <w:r>
        <w:t xml:space="preserve">based on clinical expert consensus or data-driven methods (e.g. elastic net regression against outcomes), giving greater weight to clinically meaningful metrics such as </w:t>
      </w:r>
      <w:proofErr w:type="spellStart"/>
      <w:r>
        <w:t>movement_smoothness</w:t>
      </w:r>
      <w:proofErr w:type="spellEnd"/>
      <w:r>
        <w:t xml:space="preserve"> and </w:t>
      </w:r>
      <w:proofErr w:type="spellStart"/>
      <w:r>
        <w:t>site_visibility_pct</w:t>
      </w:r>
      <w:proofErr w:type="spellEnd"/>
      <w:r>
        <w:t>.</w:t>
      </w:r>
    </w:p>
    <w:p w14:paraId="7D05FC2F" w14:textId="77777777" w:rsidR="008F089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Expand the outcomes dataset </w:t>
      </w:r>
      <w:r>
        <w:t>to at least 500 procedures with 50+ complication events to achieve adequate statistical power for binary outcome modeling.</w:t>
      </w:r>
    </w:p>
    <w:p w14:paraId="69A88478" w14:textId="77777777" w:rsidR="008F089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Disclose the full score formula </w:t>
      </w:r>
      <w:r>
        <w:t>to achieve R2 close to 1.0 and enable transparent auditing of metric contributions.</w:t>
      </w:r>
    </w:p>
    <w:p w14:paraId="00EED0EE" w14:textId="77777777" w:rsidR="008F089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Prospective study design </w:t>
      </w:r>
      <w:r>
        <w:t>with pre-registered hypotheses and stratified sampling across surgeons and procedure complexity levels.</w:t>
      </w:r>
    </w:p>
    <w:p w14:paraId="6C824282" w14:textId="4E6D4400" w:rsidR="008F0897" w:rsidRDefault="00000000" w:rsidP="00724AE6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Consider outcome-driven modeling: </w:t>
      </w:r>
      <w:r>
        <w:t>With sufficient data, a supervised model predicting outcomes directly from individual metrics could identify the most clinically relevant signals.</w:t>
      </w:r>
    </w:p>
    <w:sectPr w:rsidR="008F0897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A26A4"/>
    <w:multiLevelType w:val="hybridMultilevel"/>
    <w:tmpl w:val="13FE6DC8"/>
    <w:lvl w:ilvl="0" w:tplc="E904D528">
      <w:start w:val="1"/>
      <w:numFmt w:val="bullet"/>
      <w:lvlText w:val="●"/>
      <w:lvlJc w:val="left"/>
      <w:pPr>
        <w:ind w:left="720" w:hanging="360"/>
      </w:pPr>
    </w:lvl>
    <w:lvl w:ilvl="1" w:tplc="E28CA714">
      <w:start w:val="1"/>
      <w:numFmt w:val="bullet"/>
      <w:lvlText w:val="○"/>
      <w:lvlJc w:val="left"/>
      <w:pPr>
        <w:ind w:left="1440" w:hanging="360"/>
      </w:pPr>
    </w:lvl>
    <w:lvl w:ilvl="2" w:tplc="22DC9D9A">
      <w:start w:val="1"/>
      <w:numFmt w:val="bullet"/>
      <w:lvlText w:val="■"/>
      <w:lvlJc w:val="left"/>
      <w:pPr>
        <w:ind w:left="2160" w:hanging="360"/>
      </w:pPr>
    </w:lvl>
    <w:lvl w:ilvl="3" w:tplc="874E5A02">
      <w:start w:val="1"/>
      <w:numFmt w:val="bullet"/>
      <w:lvlText w:val="●"/>
      <w:lvlJc w:val="left"/>
      <w:pPr>
        <w:ind w:left="2880" w:hanging="360"/>
      </w:pPr>
    </w:lvl>
    <w:lvl w:ilvl="4" w:tplc="9AB0C182">
      <w:start w:val="1"/>
      <w:numFmt w:val="bullet"/>
      <w:lvlText w:val="○"/>
      <w:lvlJc w:val="left"/>
      <w:pPr>
        <w:ind w:left="3600" w:hanging="360"/>
      </w:pPr>
    </w:lvl>
    <w:lvl w:ilvl="5" w:tplc="0B2CEF6A">
      <w:start w:val="1"/>
      <w:numFmt w:val="bullet"/>
      <w:lvlText w:val="■"/>
      <w:lvlJc w:val="left"/>
      <w:pPr>
        <w:ind w:left="4320" w:hanging="360"/>
      </w:pPr>
    </w:lvl>
    <w:lvl w:ilvl="6" w:tplc="61AC9DF6">
      <w:start w:val="1"/>
      <w:numFmt w:val="bullet"/>
      <w:lvlText w:val="●"/>
      <w:lvlJc w:val="left"/>
      <w:pPr>
        <w:ind w:left="5040" w:hanging="360"/>
      </w:pPr>
    </w:lvl>
    <w:lvl w:ilvl="7" w:tplc="98464AA6">
      <w:start w:val="1"/>
      <w:numFmt w:val="bullet"/>
      <w:lvlText w:val="●"/>
      <w:lvlJc w:val="left"/>
      <w:pPr>
        <w:ind w:left="5760" w:hanging="360"/>
      </w:pPr>
    </w:lvl>
    <w:lvl w:ilvl="8" w:tplc="5852D4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AA41E2"/>
    <w:multiLevelType w:val="hybridMultilevel"/>
    <w:tmpl w:val="723038BC"/>
    <w:lvl w:ilvl="0" w:tplc="FE8A830E">
      <w:start w:val="1"/>
      <w:numFmt w:val="bullet"/>
      <w:lvlText w:val="•"/>
      <w:lvlJc w:val="left"/>
      <w:pPr>
        <w:ind w:left="720" w:hanging="360"/>
      </w:pPr>
    </w:lvl>
    <w:lvl w:ilvl="1" w:tplc="280E13D8">
      <w:numFmt w:val="decimal"/>
      <w:lvlText w:val=""/>
      <w:lvlJc w:val="left"/>
    </w:lvl>
    <w:lvl w:ilvl="2" w:tplc="98DCAF00">
      <w:numFmt w:val="decimal"/>
      <w:lvlText w:val=""/>
      <w:lvlJc w:val="left"/>
    </w:lvl>
    <w:lvl w:ilvl="3" w:tplc="131C8CB2">
      <w:numFmt w:val="decimal"/>
      <w:lvlText w:val=""/>
      <w:lvlJc w:val="left"/>
    </w:lvl>
    <w:lvl w:ilvl="4" w:tplc="2870B3B4">
      <w:numFmt w:val="decimal"/>
      <w:lvlText w:val=""/>
      <w:lvlJc w:val="left"/>
    </w:lvl>
    <w:lvl w:ilvl="5" w:tplc="864210AE">
      <w:numFmt w:val="decimal"/>
      <w:lvlText w:val=""/>
      <w:lvlJc w:val="left"/>
    </w:lvl>
    <w:lvl w:ilvl="6" w:tplc="44D87560">
      <w:numFmt w:val="decimal"/>
      <w:lvlText w:val=""/>
      <w:lvlJc w:val="left"/>
    </w:lvl>
    <w:lvl w:ilvl="7" w:tplc="6F0EC7D6">
      <w:numFmt w:val="decimal"/>
      <w:lvlText w:val=""/>
      <w:lvlJc w:val="left"/>
    </w:lvl>
    <w:lvl w:ilvl="8" w:tplc="ED2071D4">
      <w:numFmt w:val="decimal"/>
      <w:lvlText w:val=""/>
      <w:lvlJc w:val="left"/>
    </w:lvl>
  </w:abstractNum>
  <w:num w:numId="1" w16cid:durableId="1054503065">
    <w:abstractNumId w:val="0"/>
    <w:lvlOverride w:ilvl="0">
      <w:startOverride w:val="1"/>
    </w:lvlOverride>
  </w:num>
  <w:num w:numId="2" w16cid:durableId="8312200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0897"/>
    <w:rsid w:val="00316A47"/>
    <w:rsid w:val="00724AE6"/>
    <w:rsid w:val="008F0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03847"/>
  <w15:docId w15:val="{10D2575E-4CC0-4076-983E-579E3824B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A1A2E"/>
      <w:sz w:val="26"/>
      <w:szCs w:val="26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2D6A9F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791</Words>
  <Characters>4511</Characters>
  <Application>Microsoft Office Word</Application>
  <DocSecurity>0</DocSecurity>
  <Lines>37</Lines>
  <Paragraphs>10</Paragraphs>
  <ScaleCrop>false</ScaleCrop>
  <Company/>
  <LinksUpToDate>false</LinksUpToDate>
  <CharactersWithSpaces>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Sarvesh Samant</cp:lastModifiedBy>
  <cp:revision>2</cp:revision>
  <dcterms:created xsi:type="dcterms:W3CDTF">2026-05-11T14:01:00Z</dcterms:created>
  <dcterms:modified xsi:type="dcterms:W3CDTF">2026-05-11T14:01:00Z</dcterms:modified>
</cp:coreProperties>
</file>