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083016" w:rsidRDefault="00083016">
      <w:pPr>
        <w:pStyle w:val="Title"/>
        <w:framePr w:wrap="notBeside"/>
        <w:rPr>
          <w:sz w:val="40"/>
          <w:szCs w:val="40"/>
        </w:rPr>
      </w:pPr>
      <w:r w:rsidRPr="00083016">
        <w:rPr>
          <w:sz w:val="40"/>
          <w:szCs w:val="40"/>
          <w:lang w:val="en-IN"/>
        </w:rPr>
        <w:t>Speedy Tilt Shift Acceleration</w:t>
      </w:r>
    </w:p>
    <w:p w:rsidR="00E97402" w:rsidRDefault="00083016">
      <w:pPr>
        <w:pStyle w:val="Authors"/>
        <w:framePr w:wrap="notBeside"/>
      </w:pPr>
      <w:r>
        <w:t xml:space="preserve">Sarvesh Patil, </w:t>
      </w:r>
      <w:proofErr w:type="spellStart"/>
      <w:r>
        <w:t>Shubham</w:t>
      </w:r>
      <w:proofErr w:type="spellEnd"/>
      <w:r>
        <w:t xml:space="preserve"> </w:t>
      </w:r>
      <w:proofErr w:type="spellStart"/>
      <w:r>
        <w:t>Nandanwankar</w:t>
      </w:r>
      <w:proofErr w:type="spellEnd"/>
      <w:r>
        <w:t xml:space="preserve">, </w:t>
      </w:r>
      <w:proofErr w:type="spellStart"/>
      <w:r>
        <w:t>Achal</w:t>
      </w:r>
      <w:proofErr w:type="spellEnd"/>
      <w:r>
        <w:t xml:space="preserve"> Shah</w:t>
      </w:r>
      <w:r w:rsidR="00BE574D">
        <w:br/>
        <w:t>Arizona State University (2018)</w:t>
      </w:r>
    </w:p>
    <w:p w:rsidR="005038C3" w:rsidRPr="005038C3" w:rsidRDefault="00E97402" w:rsidP="005038C3">
      <w:pPr>
        <w:autoSpaceDE w:val="0"/>
        <w:autoSpaceDN w:val="0"/>
        <w:adjustRightInd w:val="0"/>
        <w:rPr>
          <w:b/>
          <w:bCs/>
          <w:sz w:val="18"/>
          <w:szCs w:val="18"/>
        </w:rPr>
      </w:pPr>
      <w:r w:rsidRPr="005038C3">
        <w:rPr>
          <w:b/>
          <w:bCs/>
          <w:sz w:val="18"/>
          <w:szCs w:val="18"/>
        </w:rPr>
        <w:t>Abstract—</w:t>
      </w:r>
      <w:r w:rsidR="005038C3" w:rsidRPr="005038C3">
        <w:rPr>
          <w:b/>
          <w:bCs/>
          <w:sz w:val="18"/>
          <w:szCs w:val="18"/>
        </w:rPr>
        <w:t>Fancy image transformations -- colloquially, “filters” -- have dramatically captured the attention of the mobile</w:t>
      </w:r>
    </w:p>
    <w:p w:rsidR="00E97402" w:rsidRPr="00CC50DF" w:rsidRDefault="005038C3" w:rsidP="00CC50DF">
      <w:pPr>
        <w:autoSpaceDE w:val="0"/>
        <w:autoSpaceDN w:val="0"/>
        <w:adjustRightInd w:val="0"/>
        <w:rPr>
          <w:b/>
          <w:bCs/>
          <w:sz w:val="18"/>
          <w:szCs w:val="18"/>
        </w:rPr>
      </w:pPr>
      <w:proofErr w:type="gramStart"/>
      <w:r w:rsidRPr="005038C3">
        <w:rPr>
          <w:b/>
          <w:bCs/>
          <w:sz w:val="18"/>
          <w:szCs w:val="18"/>
        </w:rPr>
        <w:t>market</w:t>
      </w:r>
      <w:proofErr w:type="gramEnd"/>
      <w:r w:rsidRPr="005038C3">
        <w:rPr>
          <w:b/>
          <w:bCs/>
          <w:sz w:val="18"/>
          <w:szCs w:val="18"/>
        </w:rPr>
        <w:t>, to the point that operating systems and devices take special measures to promote efficient image</w:t>
      </w:r>
      <w:r>
        <w:rPr>
          <w:b/>
          <w:bCs/>
          <w:sz w:val="18"/>
          <w:szCs w:val="18"/>
        </w:rPr>
        <w:t xml:space="preserve">. In this project we have built “Tilt-shift Blur” functionality </w:t>
      </w:r>
      <w:r w:rsidRPr="005038C3">
        <w:rPr>
          <w:b/>
          <w:bCs/>
          <w:sz w:val="18"/>
          <w:szCs w:val="18"/>
        </w:rPr>
        <w:t>s</w:t>
      </w:r>
      <w:r>
        <w:rPr>
          <w:b/>
          <w:bCs/>
          <w:sz w:val="18"/>
          <w:szCs w:val="18"/>
        </w:rPr>
        <w:t xml:space="preserve">imulating macro photography for </w:t>
      </w:r>
      <w:r w:rsidRPr="005038C3">
        <w:rPr>
          <w:b/>
          <w:bCs/>
          <w:sz w:val="18"/>
          <w:szCs w:val="18"/>
        </w:rPr>
        <w:t xml:space="preserve">full-size scenes. </w:t>
      </w:r>
      <w:r w:rsidR="00CC50DF" w:rsidRPr="005038C3">
        <w:rPr>
          <w:b/>
          <w:bCs/>
          <w:sz w:val="18"/>
          <w:szCs w:val="18"/>
        </w:rPr>
        <w:t>The tilt-shift effect simulates the focal blur effects created when photographing miniature scenes.</w:t>
      </w:r>
      <w:r w:rsidR="00CC50DF">
        <w:rPr>
          <w:b/>
          <w:bCs/>
          <w:sz w:val="18"/>
          <w:szCs w:val="18"/>
        </w:rPr>
        <w:t xml:space="preserve"> This is achieved using </w:t>
      </w:r>
      <w:r w:rsidR="00CC50DF" w:rsidRPr="005038C3">
        <w:rPr>
          <w:b/>
          <w:bCs/>
          <w:sz w:val="18"/>
          <w:szCs w:val="18"/>
        </w:rPr>
        <w:t xml:space="preserve">Gaussian blur </w:t>
      </w:r>
      <w:r w:rsidR="00CC50DF">
        <w:rPr>
          <w:b/>
          <w:bCs/>
          <w:sz w:val="18"/>
          <w:szCs w:val="18"/>
        </w:rPr>
        <w:t xml:space="preserve">algorithm that uses </w:t>
      </w:r>
      <w:r w:rsidR="00CC50DF" w:rsidRPr="005038C3">
        <w:rPr>
          <w:b/>
          <w:bCs/>
          <w:sz w:val="18"/>
          <w:szCs w:val="18"/>
        </w:rPr>
        <w:t>kernel of different sig</w:t>
      </w:r>
      <w:r w:rsidR="00CC50DF">
        <w:rPr>
          <w:b/>
          <w:bCs/>
          <w:sz w:val="18"/>
          <w:szCs w:val="18"/>
        </w:rPr>
        <w:t xml:space="preserve">ma value (blurriness) depending </w:t>
      </w:r>
      <w:r w:rsidR="00CC50DF" w:rsidRPr="005038C3">
        <w:rPr>
          <w:b/>
          <w:bCs/>
          <w:sz w:val="18"/>
          <w:szCs w:val="18"/>
        </w:rPr>
        <w:t xml:space="preserve">on the assumed physical depth of the subject. </w:t>
      </w:r>
      <w:r w:rsidR="00CC50DF">
        <w:rPr>
          <w:b/>
          <w:bCs/>
          <w:sz w:val="18"/>
          <w:szCs w:val="18"/>
        </w:rPr>
        <w:t xml:space="preserve">Here </w:t>
      </w:r>
      <w:r w:rsidR="00CC50DF" w:rsidRPr="005038C3">
        <w:rPr>
          <w:b/>
          <w:bCs/>
          <w:sz w:val="18"/>
          <w:szCs w:val="18"/>
        </w:rPr>
        <w:t xml:space="preserve">we </w:t>
      </w:r>
      <w:r w:rsidR="00CC50DF">
        <w:rPr>
          <w:b/>
          <w:bCs/>
          <w:sz w:val="18"/>
          <w:szCs w:val="18"/>
        </w:rPr>
        <w:t xml:space="preserve">have used y-coordinate to assume the </w:t>
      </w:r>
      <w:r w:rsidR="00CC50DF" w:rsidRPr="005038C3">
        <w:rPr>
          <w:b/>
          <w:bCs/>
          <w:sz w:val="18"/>
          <w:szCs w:val="18"/>
        </w:rPr>
        <w:t>depth of the image contents.</w:t>
      </w:r>
      <w:r w:rsidR="00CC50DF">
        <w:t xml:space="preserve"> </w:t>
      </w:r>
      <w:r>
        <w:rPr>
          <w:b/>
          <w:bCs/>
          <w:sz w:val="18"/>
          <w:szCs w:val="18"/>
        </w:rPr>
        <w:t>We have</w:t>
      </w:r>
      <w:r w:rsidRPr="005038C3">
        <w:rPr>
          <w:b/>
          <w:bCs/>
          <w:sz w:val="18"/>
          <w:szCs w:val="18"/>
        </w:rPr>
        <w:t xml:space="preserve"> design</w:t>
      </w:r>
      <w:r>
        <w:rPr>
          <w:b/>
          <w:bCs/>
          <w:sz w:val="18"/>
          <w:szCs w:val="18"/>
        </w:rPr>
        <w:t>ed</w:t>
      </w:r>
      <w:r w:rsidRPr="005038C3">
        <w:rPr>
          <w:b/>
          <w:bCs/>
          <w:sz w:val="18"/>
          <w:szCs w:val="18"/>
        </w:rPr>
        <w:t xml:space="preserve"> and benchmark</w:t>
      </w:r>
      <w:r>
        <w:rPr>
          <w:b/>
          <w:bCs/>
          <w:sz w:val="18"/>
          <w:szCs w:val="18"/>
        </w:rPr>
        <w:t>ed</w:t>
      </w:r>
      <w:r w:rsidRPr="005038C3">
        <w:rPr>
          <w:b/>
          <w:bCs/>
          <w:sz w:val="18"/>
          <w:szCs w:val="18"/>
        </w:rPr>
        <w:t xml:space="preserve"> </w:t>
      </w:r>
      <w:r>
        <w:rPr>
          <w:b/>
          <w:bCs/>
          <w:sz w:val="18"/>
          <w:szCs w:val="18"/>
        </w:rPr>
        <w:t>our</w:t>
      </w:r>
      <w:r w:rsidRPr="005038C3">
        <w:rPr>
          <w:b/>
          <w:bCs/>
          <w:sz w:val="18"/>
          <w:szCs w:val="18"/>
        </w:rPr>
        <w:t xml:space="preserve"> implementation using</w:t>
      </w:r>
      <w:r>
        <w:rPr>
          <w:b/>
          <w:bCs/>
          <w:sz w:val="18"/>
          <w:szCs w:val="18"/>
        </w:rPr>
        <w:t xml:space="preserve"> three popular platforms namely Java, C++ and ARM NEON </w:t>
      </w:r>
      <w:r w:rsidRPr="005038C3">
        <w:rPr>
          <w:b/>
          <w:bCs/>
          <w:sz w:val="18"/>
          <w:szCs w:val="18"/>
        </w:rPr>
        <w:t>intrinsics.</w:t>
      </w:r>
      <w:r w:rsidR="00CC50DF">
        <w:rPr>
          <w:b/>
          <w:bCs/>
          <w:sz w:val="18"/>
          <w:szCs w:val="18"/>
        </w:rPr>
        <w:t xml:space="preserve"> The application allows user </w:t>
      </w:r>
      <w:r w:rsidR="008348F4">
        <w:rPr>
          <w:b/>
          <w:bCs/>
          <w:sz w:val="18"/>
          <w:szCs w:val="18"/>
        </w:rPr>
        <w:t xml:space="preserve">to choose </w:t>
      </w:r>
      <w:r w:rsidR="00CC50DF">
        <w:rPr>
          <w:b/>
          <w:bCs/>
          <w:sz w:val="18"/>
          <w:szCs w:val="18"/>
        </w:rPr>
        <w:t>any image</w:t>
      </w:r>
      <w:r w:rsidR="008348F4">
        <w:rPr>
          <w:b/>
          <w:bCs/>
          <w:sz w:val="18"/>
          <w:szCs w:val="18"/>
        </w:rPr>
        <w:t xml:space="preserve"> on user’s device or drive storage and one of three platforms &amp; displays the tilt-shift filtered image.</w:t>
      </w:r>
    </w:p>
    <w:p w:rsidR="00E97402" w:rsidRDefault="00E97402"/>
    <w:p w:rsidR="00E97402" w:rsidRDefault="00E97402" w:rsidP="001F342F">
      <w:pPr>
        <w:pStyle w:val="IndexTerms"/>
      </w:pPr>
      <w:bookmarkStart w:id="0" w:name="PointTmp"/>
      <w:r>
        <w:rPr>
          <w:i/>
          <w:iCs/>
        </w:rPr>
        <w:t>Index Terms</w:t>
      </w:r>
      <w:r>
        <w:t>—</w:t>
      </w:r>
      <w:r w:rsidR="001F342F" w:rsidRPr="001F342F">
        <w:t xml:space="preserve"> </w:t>
      </w:r>
      <w:r w:rsidR="001F342F">
        <w:t xml:space="preserve">ARM Neon Intrinsic, C++, </w:t>
      </w:r>
      <w:r w:rsidR="009E5545">
        <w:t>Filte</w:t>
      </w:r>
      <w:r w:rsidR="001F342F">
        <w:t>rs, Gaussian Blur kernel,</w:t>
      </w:r>
      <w:r w:rsidR="00222404">
        <w:t xml:space="preserve"> Image processing,</w:t>
      </w:r>
      <w:r w:rsidR="001F342F">
        <w:t xml:space="preserve"> Java</w:t>
      </w:r>
      <w:r w:rsidR="00F351A2">
        <w:t>, NVIDIA Shield tablet</w:t>
      </w:r>
    </w:p>
    <w:p w:rsidR="00E97402" w:rsidRDefault="00E97402"/>
    <w:bookmarkEnd w:id="0"/>
    <w:p w:rsidR="00E97402" w:rsidRDefault="00E97402">
      <w:pPr>
        <w:pStyle w:val="Heading1"/>
      </w:pPr>
      <w:r>
        <w:t>I</w:t>
      </w:r>
      <w:r>
        <w:rPr>
          <w:sz w:val="16"/>
          <w:szCs w:val="16"/>
        </w:rPr>
        <w:t>NTRODUCTION</w:t>
      </w:r>
    </w:p>
    <w:p w:rsidR="00E97402" w:rsidRDefault="00EC585E">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rsidR="00E97402" w:rsidRDefault="00EC585E">
      <w:pPr>
        <w:pStyle w:val="Text"/>
        <w:ind w:firstLine="0"/>
      </w:pPr>
      <w:r>
        <w:rPr>
          <w:smallCaps/>
        </w:rPr>
        <w:t>MAGE</w:t>
      </w:r>
      <w:r>
        <w:t xml:space="preserve"> transformations or filters are one of the significant aspect of ongoing mobile computing technology</w:t>
      </w:r>
      <w:r w:rsidR="00EC27B9">
        <w:t>.</w:t>
      </w:r>
      <w:r>
        <w:t xml:space="preserve"> In this project we have attempted to implement one of the many popular filters known as “Tilt-shift blur filter” which simulates the focal blur effect when photographing miniature scenes. This filter effect is achieved through technique known as Gaussian blur algorithm which is built on kernel </w:t>
      </w:r>
      <w:r w:rsidR="00F351A2">
        <w:t>that uses varying sigma values</w:t>
      </w:r>
      <w:r w:rsidR="000240EE">
        <w:t xml:space="preserve"> </w:t>
      </w:r>
      <w:r w:rsidR="00F351A2">
        <w:t xml:space="preserve">(blurriness). For this implementation we have chosen three major platforms namely Java, C++ &amp; ARM Neon intrinsic. The </w:t>
      </w:r>
      <w:proofErr w:type="gramStart"/>
      <w:r w:rsidR="00F351A2">
        <w:t>goal</w:t>
      </w:r>
      <w:proofErr w:type="gramEnd"/>
      <w:r w:rsidR="00F351A2">
        <w:t xml:space="preserve"> of implementing the algorithm with three different platforms is to take advantage language specific features of each implementation and based on that evaluate the runtime performance of our filter implementation for benchmarking. All the development &amp; testing is done with NVIDIA Shield tablet.</w:t>
      </w:r>
      <w:r>
        <w:t xml:space="preserve">  </w:t>
      </w:r>
      <w:r w:rsidR="00EC27B9">
        <w:t xml:space="preserve">  </w:t>
      </w:r>
    </w:p>
    <w:p w:rsidR="008A3C23" w:rsidRDefault="00222404" w:rsidP="001F4C5C">
      <w:pPr>
        <w:pStyle w:val="Heading1"/>
      </w:pPr>
      <w:r>
        <w:t>De</w:t>
      </w:r>
      <w:r w:rsidR="00F351A2">
        <w:t>sig</w:t>
      </w:r>
      <w:r w:rsidR="008A3C23">
        <w:t>n</w:t>
      </w:r>
      <w:r w:rsidR="00F351A2">
        <w:t xml:space="preserve"> </w:t>
      </w:r>
      <w:r>
        <w:t>&amp; Implementation</w:t>
      </w:r>
    </w:p>
    <w:p w:rsidR="00E97402" w:rsidRDefault="00222404">
      <w:pPr>
        <w:pStyle w:val="Text"/>
      </w:pPr>
      <w:r>
        <w:rPr>
          <w:bCs/>
        </w:rPr>
        <w:t>The application is designed to run on user selected image of any size, the regions of blurring, blurring intensity &amp; the language platform with which user wishes to run the filter</w:t>
      </w:r>
      <w:r w:rsidR="00E97402">
        <w:t xml:space="preserve">. </w:t>
      </w:r>
    </w:p>
    <w:p w:rsidR="00222404" w:rsidRDefault="00222404" w:rsidP="00222404">
      <w:pPr>
        <w:pStyle w:val="Text"/>
      </w:pPr>
      <w:r>
        <w:t xml:space="preserve">The User interface consists </w:t>
      </w:r>
      <w:proofErr w:type="gramStart"/>
      <w:r>
        <w:t xml:space="preserve">of </w:t>
      </w:r>
      <w:r w:rsidR="00E97402">
        <w:t xml:space="preserve"> </w:t>
      </w:r>
      <w:r>
        <w:t>three</w:t>
      </w:r>
      <w:proofErr w:type="gramEnd"/>
      <w:r>
        <w:t xml:space="preserve"> components to facilitate this user input process. The image picker icon provides user the option of either choosing an image from Gallery i.e. local storage of device or from linked drive by opening the image picker activity on selection. This selection menu also offers few sample images as well to user if user wishes to run app for these images. The selected pre-blur image is then made available on screen of device.</w:t>
      </w:r>
    </w:p>
    <w:p w:rsidR="00E97402" w:rsidRDefault="00641D73" w:rsidP="00641D73">
      <w:pPr>
        <w:autoSpaceDE w:val="0"/>
        <w:autoSpaceDN w:val="0"/>
        <w:adjustRightInd w:val="0"/>
      </w:pPr>
      <w:r>
        <w:t>The scroll bar selections allows user to set the regions of blur along y-axis &amp; intensity</w:t>
      </w:r>
      <w:r w:rsidR="008F3390">
        <w:t>.</w:t>
      </w:r>
      <w:r>
        <w:t xml:space="preserve"> Depending on selected formation of first four </w:t>
      </w:r>
      <w:proofErr w:type="spellStart"/>
      <w:r>
        <w:t>seekbars</w:t>
      </w:r>
      <w:proofErr w:type="spellEnd"/>
      <w:r>
        <w:t xml:space="preserve"> (</w:t>
      </w:r>
      <w:r w:rsidRPr="00641D73">
        <w:t>a0, a1, a2, a3</w:t>
      </w:r>
      <w:r>
        <w:t xml:space="preserve">), the image regions are set for </w:t>
      </w:r>
      <w:r w:rsidRPr="00641D73">
        <w:t>the location and</w:t>
      </w:r>
      <w:r>
        <w:t xml:space="preserve"> gradient of transition between </w:t>
      </w:r>
      <w:r w:rsidRPr="00641D73">
        <w:t>blurry and non-blurry regions</w:t>
      </w:r>
      <w:r>
        <w:t xml:space="preserve">. Two more </w:t>
      </w:r>
      <w:proofErr w:type="spellStart"/>
      <w:r>
        <w:t>seekbars</w:t>
      </w:r>
      <w:proofErr w:type="spellEnd"/>
      <w:r>
        <w:t xml:space="preserve"> are used to set the </w:t>
      </w:r>
      <w:proofErr w:type="spellStart"/>
      <w:r w:rsidRPr="00641D73">
        <w:t>sigma_near</w:t>
      </w:r>
      <w:proofErr w:type="spellEnd"/>
      <w:r w:rsidRPr="00641D73">
        <w:t xml:space="preserve"> (σ1) and </w:t>
      </w:r>
      <w:proofErr w:type="spellStart"/>
      <w:r w:rsidRPr="00641D73">
        <w:t>sigma_far</w:t>
      </w:r>
      <w:proofErr w:type="spellEnd"/>
      <w:r w:rsidRPr="00641D73">
        <w:t xml:space="preserve"> (σ2)</w:t>
      </w:r>
      <w:r>
        <w:t xml:space="preserve"> values</w:t>
      </w:r>
      <w:r w:rsidRPr="00641D73">
        <w:t>, representing the blur of</w:t>
      </w:r>
      <w:r>
        <w:t xml:space="preserve"> </w:t>
      </w:r>
      <w:r w:rsidRPr="00641D73">
        <w:t>near and far objects</w:t>
      </w:r>
      <w:r>
        <w:t>.</w:t>
      </w:r>
    </w:p>
    <w:p w:rsidR="00641D73" w:rsidRDefault="00641D73" w:rsidP="00641D73">
      <w:pPr>
        <w:autoSpaceDE w:val="0"/>
        <w:autoSpaceDN w:val="0"/>
        <w:adjustRightInd w:val="0"/>
      </w:pPr>
      <w:r>
        <w:t>The spinner adapter is used to enable drop-down selection menu for user which allows one of Java, C++ or Neon I(</w:t>
      </w:r>
      <w:proofErr w:type="spellStart"/>
      <w:r>
        <w:t>ntrinsic</w:t>
      </w:r>
      <w:proofErr w:type="spellEnd"/>
      <w:r>
        <w:t>) to be selected as running platform during that execution.</w:t>
      </w:r>
    </w:p>
    <w:p w:rsidR="00A61904" w:rsidRDefault="00A61904" w:rsidP="00641D73">
      <w:pPr>
        <w:autoSpaceDE w:val="0"/>
        <w:autoSpaceDN w:val="0"/>
        <w:adjustRightInd w:val="0"/>
      </w:pPr>
      <w:r>
        <w:t>The “Blur it” button when pressed, on receiving all valid setup inputs, initiates the blurring operation on selected image using the blur region &amp; implementation information. The pop up toast messages are used to update user about the status of execution during run. On successful execution, app replaces the original image with filtered image on screen in image view area. User is also intimated of timing it took for application to complete blurring operation for that particular instance of implementation on that image. A “Reset” button lets user to revert back to original image.</w:t>
      </w:r>
    </w:p>
    <w:p w:rsidR="00DA634B" w:rsidRDefault="00DA634B" w:rsidP="00641D73">
      <w:pPr>
        <w:autoSpaceDE w:val="0"/>
        <w:autoSpaceDN w:val="0"/>
        <w:adjustRightInd w:val="0"/>
      </w:pPr>
      <w:r>
        <w:t>All these UI components communicate with underlying libraries that handles these inputs &amp; implements Gaussian blur algorithm for given constraints. For this we calculate a Gaussian kernel window</w:t>
      </w:r>
      <w:r w:rsidR="00ED4F5D">
        <w:t xml:space="preserve"> based on near &amp; far sigma values. The</w:t>
      </w:r>
      <w:r w:rsidR="00487B89">
        <w:t>n</w:t>
      </w:r>
      <w:r w:rsidR="00ED4F5D">
        <w:t xml:space="preserve"> we iteratively apply the two level convolution operation on each pixel of</w:t>
      </w:r>
      <w:r w:rsidR="000240EE">
        <w:t xml:space="preserve"> the</w:t>
      </w:r>
      <w:r w:rsidR="00ED4F5D">
        <w:t xml:space="preserve"> image with this kernel iteratively. </w:t>
      </w:r>
      <w:r w:rsidR="000240EE">
        <w:t>In case of Java &amp; C++ approaches we have used the naïve brute force method of nested loops to iterate over the image for convolution. Although in case of Neon Intrinsic we have taken advantage of vectorization method calls exposed by ARM Neon library to vectorize our approach.</w:t>
      </w:r>
      <w:r w:rsidR="00BA2A0B">
        <w:t xml:space="preserve"> All three design &amp; implementation approaches have been discussed in detail in next section.</w:t>
      </w:r>
      <w:r w:rsidR="000240EE">
        <w:t xml:space="preserve"> The corresponding speed ups we observed because of our approaches have been documented under Results section in later sections of this document.</w:t>
      </w:r>
    </w:p>
    <w:p w:rsidR="008F3390" w:rsidRDefault="008F3390">
      <w:pPr>
        <w:pStyle w:val="Text"/>
      </w:pPr>
    </w:p>
    <w:p w:rsidR="00E97B99" w:rsidRDefault="0086285A" w:rsidP="00E97B99">
      <w:pPr>
        <w:pStyle w:val="Heading2"/>
      </w:pPr>
      <w:r>
        <w:t>User Interface</w:t>
      </w:r>
    </w:p>
    <w:p w:rsidR="008F3390" w:rsidRDefault="002B198D" w:rsidP="002B198D">
      <w:pPr>
        <w:pStyle w:val="Text"/>
      </w:pPr>
      <w:r>
        <w:t xml:space="preserve">All the UI components design is done in </w:t>
      </w:r>
      <w:r w:rsidRPr="002B198D">
        <w:rPr>
          <w:i/>
        </w:rPr>
        <w:t>activity_main.xml</w:t>
      </w:r>
      <w:r>
        <w:t xml:space="preserve"> file. We have used </w:t>
      </w:r>
      <w:proofErr w:type="spellStart"/>
      <w:r>
        <w:t>RelativeLayout</w:t>
      </w:r>
      <w:proofErr w:type="spellEnd"/>
      <w:r>
        <w:t xml:space="preserve"> approach for designing our UI.</w:t>
      </w:r>
      <w:r w:rsidR="00A60CDA">
        <w:t xml:space="preserve"> </w:t>
      </w:r>
      <w:proofErr w:type="spellStart"/>
      <w:r w:rsidR="00A60CDA">
        <w:t>ImageView</w:t>
      </w:r>
      <w:proofErr w:type="spellEnd"/>
      <w:r w:rsidR="00A60CDA">
        <w:t xml:space="preserve"> component is used which loads the user selected image on screen.</w:t>
      </w:r>
    </w:p>
    <w:p w:rsidR="00A60CDA" w:rsidRDefault="00642B8E" w:rsidP="00A60CDA">
      <w:pPr>
        <w:pStyle w:val="Text"/>
        <w:ind w:firstLine="0"/>
      </w:pPr>
      <w:r>
        <w:t xml:space="preserve">The </w:t>
      </w:r>
      <w:proofErr w:type="spellStart"/>
      <w:r>
        <w:t>seekbars</w:t>
      </w:r>
      <w:proofErr w:type="spellEnd"/>
      <w:r>
        <w:t xml:space="preserve"> are used to get fine control when selecting </w:t>
      </w:r>
      <w:r>
        <w:lastRenderedPageBreak/>
        <w:t xml:space="preserve">sections image of to blur. Based on </w:t>
      </w:r>
      <w:proofErr w:type="spellStart"/>
      <w:r>
        <w:t>seekbar</w:t>
      </w:r>
      <w:proofErr w:type="spellEnd"/>
      <w:r>
        <w:t xml:space="preserve"> position it returns value </w:t>
      </w:r>
      <w:proofErr w:type="gramStart"/>
      <w:r>
        <w:t>between 0 to 255</w:t>
      </w:r>
      <w:proofErr w:type="gramEnd"/>
      <w:r>
        <w:t xml:space="preserve"> (0 for bottom 255 when at top). These position values are then used by </w:t>
      </w:r>
      <w:proofErr w:type="spellStart"/>
      <w:r>
        <w:t>musicfx</w:t>
      </w:r>
      <w:proofErr w:type="spellEnd"/>
      <w:r>
        <w:t xml:space="preserve"> class to evaluate the </w:t>
      </w:r>
      <w:r w:rsidR="00F22D66">
        <w:t>length of section of image along y-axis that should undergo blurring effect of desired intensity.</w:t>
      </w:r>
    </w:p>
    <w:p w:rsidR="00E97B99" w:rsidRDefault="0095542A" w:rsidP="00E97B99">
      <w:pPr>
        <w:pStyle w:val="Heading2"/>
      </w:pPr>
      <w:r>
        <w:t>Main Activity</w:t>
      </w:r>
    </w:p>
    <w:p w:rsidR="00E97B99" w:rsidRDefault="00236B9A" w:rsidP="00E97B99">
      <w:pPr>
        <w:pStyle w:val="Text"/>
      </w:pPr>
      <w:r>
        <w:t xml:space="preserve">This is the main launcher activity that is presented to user on opening the </w:t>
      </w:r>
      <w:proofErr w:type="spellStart"/>
      <w:r>
        <w:t>tilt_shift_blur</w:t>
      </w:r>
      <w:proofErr w:type="spellEnd"/>
      <w:r>
        <w:t xml:space="preserve"> application. MainActivity.java file handles the all main activity </w:t>
      </w:r>
      <w:r w:rsidR="00F67122">
        <w:t xml:space="preserve">initializations &amp; </w:t>
      </w:r>
      <w:r>
        <w:t>operations.</w:t>
      </w:r>
    </w:p>
    <w:p w:rsidR="00E674EE" w:rsidRDefault="00F67122" w:rsidP="00E674EE">
      <w:pPr>
        <w:pStyle w:val="Text"/>
      </w:pPr>
      <w:r>
        <w:t xml:space="preserve">The </w:t>
      </w:r>
      <w:proofErr w:type="spellStart"/>
      <w:proofErr w:type="gramStart"/>
      <w:r>
        <w:t>onCreate</w:t>
      </w:r>
      <w:proofErr w:type="spellEnd"/>
      <w:r>
        <w:t>(</w:t>
      </w:r>
      <w:proofErr w:type="gramEnd"/>
      <w:r>
        <w:t xml:space="preserve">) callback sets the layout UI &amp; calls </w:t>
      </w:r>
      <w:proofErr w:type="spellStart"/>
      <w:r>
        <w:t>setupUI</w:t>
      </w:r>
      <w:proofErr w:type="spellEnd"/>
      <w:r>
        <w:t xml:space="preserve">() method defined in same file which handles all initial setup of UI components. This links component’s ids with corresponding objects that are then used throughout execution. </w:t>
      </w:r>
      <w:proofErr w:type="spellStart"/>
      <w:proofErr w:type="gramStart"/>
      <w:r>
        <w:t>setupUI</w:t>
      </w:r>
      <w:proofErr w:type="spellEnd"/>
      <w:r>
        <w:t>(</w:t>
      </w:r>
      <w:proofErr w:type="gramEnd"/>
      <w:r>
        <w:t xml:space="preserve">) also defines </w:t>
      </w:r>
      <w:proofErr w:type="spellStart"/>
      <w:r>
        <w:t>onClick</w:t>
      </w:r>
      <w:proofErr w:type="spellEnd"/>
      <w:r>
        <w:t>() callback behavior</w:t>
      </w:r>
      <w:r w:rsidR="00E674EE">
        <w:t xml:space="preserve"> set on image select button</w:t>
      </w:r>
      <w:r>
        <w:t xml:space="preserve"> to handle the user’s image selection option.</w:t>
      </w:r>
      <w:r w:rsidR="00E674EE">
        <w:t xml:space="preserve"> If user has chosen to select an image from local gallery storage or drive, it calls a separate method </w:t>
      </w:r>
      <w:proofErr w:type="spellStart"/>
      <w:proofErr w:type="gramStart"/>
      <w:r w:rsidR="00E674EE">
        <w:t>showFileChooser</w:t>
      </w:r>
      <w:proofErr w:type="spellEnd"/>
      <w:r w:rsidR="00E674EE">
        <w:t>(</w:t>
      </w:r>
      <w:proofErr w:type="gramEnd"/>
      <w:r w:rsidR="00E674EE">
        <w:t xml:space="preserve">) to handle the request. Otherwise it sets the </w:t>
      </w:r>
      <w:r w:rsidR="007E00B4">
        <w:t xml:space="preserve">selected </w:t>
      </w:r>
      <w:r w:rsidR="00E674EE">
        <w:t xml:space="preserve">pre-loaded image </w:t>
      </w:r>
      <w:r w:rsidR="007E00B4">
        <w:t xml:space="preserve">in </w:t>
      </w:r>
      <w:proofErr w:type="gramStart"/>
      <w:r w:rsidR="007E00B4">
        <w:t>app(</w:t>
      </w:r>
      <w:proofErr w:type="gramEnd"/>
      <w:r w:rsidR="007E00B4">
        <w:t>in res/</w:t>
      </w:r>
      <w:proofErr w:type="spellStart"/>
      <w:r w:rsidR="007E00B4">
        <w:t>drawable</w:t>
      </w:r>
      <w:proofErr w:type="spellEnd"/>
      <w:r w:rsidR="007E00B4">
        <w:t xml:space="preserve"> directory) </w:t>
      </w:r>
      <w:r w:rsidR="00E674EE">
        <w:t>to bitmap object &amp; makes it visible on screen.</w:t>
      </w:r>
      <w:r w:rsidR="00FC2E54">
        <w:t xml:space="preserve"> </w:t>
      </w:r>
      <w:proofErr w:type="spellStart"/>
      <w:proofErr w:type="gramStart"/>
      <w:r w:rsidR="00FC2E54" w:rsidRPr="00FC2E54">
        <w:t>onActivityResult</w:t>
      </w:r>
      <w:proofErr w:type="spellEnd"/>
      <w:r w:rsidR="00FC2E54" w:rsidRPr="00FC2E54">
        <w:t>(</w:t>
      </w:r>
      <w:proofErr w:type="gramEnd"/>
      <w:r w:rsidR="00FC2E54" w:rsidRPr="00FC2E54">
        <w:t>) callback handles the displaying operations for selected input stream.</w:t>
      </w:r>
    </w:p>
    <w:p w:rsidR="00E97B99" w:rsidRDefault="004055C6" w:rsidP="00E97B99">
      <w:pPr>
        <w:pStyle w:val="Text"/>
      </w:pPr>
      <w:r>
        <w:t xml:space="preserve">The </w:t>
      </w:r>
      <w:proofErr w:type="spellStart"/>
      <w:proofErr w:type="gramStart"/>
      <w:r>
        <w:t>showFileChooser</w:t>
      </w:r>
      <w:proofErr w:type="spellEnd"/>
      <w:r>
        <w:t>(</w:t>
      </w:r>
      <w:proofErr w:type="gramEnd"/>
      <w:r>
        <w:t xml:space="preserve">) method uses the intent object on storage media to open image picker activity on top of main activity. </w:t>
      </w:r>
      <w:proofErr w:type="spellStart"/>
      <w:proofErr w:type="gramStart"/>
      <w:r w:rsidRPr="004055C6">
        <w:t>startActivityForResult</w:t>
      </w:r>
      <w:proofErr w:type="spellEnd"/>
      <w:r w:rsidRPr="004055C6">
        <w:t>(</w:t>
      </w:r>
      <w:proofErr w:type="gramEnd"/>
      <w:r w:rsidRPr="004055C6">
        <w:t>) method call handles all the subsequent operations using this intent.</w:t>
      </w:r>
    </w:p>
    <w:p w:rsidR="005A3770" w:rsidRDefault="00FC2E54" w:rsidP="00E97B99">
      <w:pPr>
        <w:pStyle w:val="Text"/>
      </w:pPr>
      <w:r>
        <w:t xml:space="preserve">Six </w:t>
      </w:r>
      <w:proofErr w:type="spellStart"/>
      <w:r>
        <w:t>seekbar</w:t>
      </w:r>
      <w:proofErr w:type="spellEnd"/>
      <w:r>
        <w:t xml:space="preserve"> objects, four for a0,a1,a2,a3 &amp; two for sigma values, are created and used on the callback method </w:t>
      </w:r>
      <w:proofErr w:type="spellStart"/>
      <w:r w:rsidRPr="00FC2E54">
        <w:t>setOnSeekBarChangeListener</w:t>
      </w:r>
      <w:proofErr w:type="spellEnd"/>
      <w:r w:rsidRPr="00FC2E54">
        <w:t xml:space="preserve">() in order to track &amp; evaluate the </w:t>
      </w:r>
      <w:proofErr w:type="spellStart"/>
      <w:r w:rsidRPr="00FC2E54">
        <w:t>seekbar</w:t>
      </w:r>
      <w:proofErr w:type="spellEnd"/>
      <w:r w:rsidRPr="00FC2E54">
        <w:t xml:space="preserve"> position from UI input stream.</w:t>
      </w:r>
      <w:r>
        <w:t xml:space="preserve"> Also </w:t>
      </w:r>
      <w:proofErr w:type="spellStart"/>
      <w:proofErr w:type="gramStart"/>
      <w:r w:rsidRPr="00FC2E54">
        <w:t>setOnClickListener</w:t>
      </w:r>
      <w:proofErr w:type="spellEnd"/>
      <w:r w:rsidRPr="00FC2E54">
        <w:t>(</w:t>
      </w:r>
      <w:proofErr w:type="gramEnd"/>
      <w:r w:rsidRPr="00FC2E54">
        <w:t>) listener ge</w:t>
      </w:r>
      <w:r>
        <w:t xml:space="preserve">ts called on two button objects, one for “Blur it” &amp; another for “Reset”. On clicking “Blur it”, application reads the set spinner adapter value to know which implementation library is to be referred to perform filtering operations. Depending on that, call is made to corresponding </w:t>
      </w:r>
      <w:proofErr w:type="spellStart"/>
      <w:r w:rsidRPr="00FC2E54">
        <w:t>GaussianBlur.tiltBlur</w:t>
      </w:r>
      <w:proofErr w:type="spellEnd"/>
      <w:r w:rsidRPr="00FC2E54">
        <w:t>_&lt;java/</w:t>
      </w:r>
      <w:proofErr w:type="spellStart"/>
      <w:r w:rsidRPr="00FC2E54">
        <w:t>cpp</w:t>
      </w:r>
      <w:proofErr w:type="spellEnd"/>
      <w:r w:rsidRPr="00FC2E54">
        <w:t>/neon</w:t>
      </w:r>
      <w:proofErr w:type="gramStart"/>
      <w:r w:rsidRPr="00FC2E54">
        <w:t>&gt;(</w:t>
      </w:r>
      <w:proofErr w:type="gramEnd"/>
      <w:r w:rsidRPr="00FC2E54">
        <w:t>) method from respecti</w:t>
      </w:r>
      <w:r>
        <w:t>ve library</w:t>
      </w:r>
      <w:r w:rsidR="00E5764B">
        <w:t xml:space="preserve"> from a separate class file GaussianBlur.java which s explained in next section</w:t>
      </w:r>
      <w:r>
        <w:t xml:space="preserve">. </w:t>
      </w:r>
      <w:r w:rsidR="001E2F4A">
        <w:t>Bitmap of original image, corresponding parameters for kernel are passed as argument in this call. This method, on completion of blurring operation, returns the outp</w:t>
      </w:r>
      <w:r w:rsidR="005A3770">
        <w:t>u</w:t>
      </w:r>
      <w:r w:rsidR="001E2F4A">
        <w:t xml:space="preserve">t image which gets set on display in place of original image through </w:t>
      </w:r>
      <w:proofErr w:type="spellStart"/>
      <w:proofErr w:type="gramStart"/>
      <w:r w:rsidR="001E2F4A" w:rsidRPr="001E2F4A">
        <w:t>setImageBitmap</w:t>
      </w:r>
      <w:proofErr w:type="spellEnd"/>
      <w:r w:rsidR="001E2F4A" w:rsidRPr="001E2F4A">
        <w:t>(</w:t>
      </w:r>
      <w:proofErr w:type="gramEnd"/>
      <w:r w:rsidR="001E2F4A" w:rsidRPr="001E2F4A">
        <w:t>) method.</w:t>
      </w:r>
      <w:r w:rsidR="005A3770">
        <w:t xml:space="preserve"> We have included the following block of code </w:t>
      </w:r>
      <w:r w:rsidR="005A3770" w:rsidRPr="005A3770">
        <w:t>to load the 'native-lib' library on application startup.</w:t>
      </w:r>
    </w:p>
    <w:p w:rsidR="005A3770" w:rsidRDefault="005A3770" w:rsidP="00E5764B">
      <w:pPr>
        <w:pStyle w:val="Text"/>
        <w:ind w:firstLine="0"/>
      </w:pPr>
      <w:r>
        <w:t xml:space="preserve">Static </w:t>
      </w:r>
      <w:proofErr w:type="gramStart"/>
      <w:r>
        <w:t xml:space="preserve">{ </w:t>
      </w:r>
      <w:proofErr w:type="spellStart"/>
      <w:r w:rsidRPr="005A3770">
        <w:t>System.loadLibrary</w:t>
      </w:r>
      <w:proofErr w:type="spellEnd"/>
      <w:proofErr w:type="gramEnd"/>
      <w:r w:rsidRPr="005A3770">
        <w:t>("native-lib");</w:t>
      </w:r>
      <w:r>
        <w:t xml:space="preserve"> }</w:t>
      </w:r>
    </w:p>
    <w:p w:rsidR="00FC2E54" w:rsidRDefault="001E2F4A" w:rsidP="00E97B99">
      <w:pPr>
        <w:pStyle w:val="Text"/>
      </w:pPr>
      <w:r>
        <w:t xml:space="preserve">We calculate the time it takes starting from when functional call is made to time when final output image is set on UI as required execution time. We achieve this by encapsulating subsequent code block in </w:t>
      </w:r>
      <w:proofErr w:type="spellStart"/>
      <w:proofErr w:type="gramStart"/>
      <w:r w:rsidRPr="001E2F4A">
        <w:t>System.nanoTime</w:t>
      </w:r>
      <w:proofErr w:type="spellEnd"/>
      <w:r w:rsidRPr="001E2F4A">
        <w:t>(</w:t>
      </w:r>
      <w:proofErr w:type="gramEnd"/>
      <w:r w:rsidRPr="001E2F4A">
        <w:t>) call.</w:t>
      </w:r>
      <w:r>
        <w:t xml:space="preserve"> Toast messages are always displayed on UI to keep user updated about same.</w:t>
      </w:r>
    </w:p>
    <w:p w:rsidR="00BF0C69" w:rsidRDefault="00BF0C69" w:rsidP="00E97B99">
      <w:pPr>
        <w:pStyle w:val="Text"/>
      </w:pPr>
    </w:p>
    <w:p w:rsidR="00BF0C69" w:rsidRDefault="00E5764B" w:rsidP="001F4C5C">
      <w:pPr>
        <w:pStyle w:val="Heading2"/>
      </w:pPr>
      <w:r>
        <w:t xml:space="preserve">Gaussian Blur Class </w:t>
      </w:r>
      <w:r w:rsidR="00BF0C69" w:rsidRPr="00B80D07">
        <w:t>File</w:t>
      </w:r>
      <w:r w:rsidR="00BF0C69">
        <w:t xml:space="preserve"> </w:t>
      </w:r>
    </w:p>
    <w:p w:rsidR="009377D5" w:rsidRDefault="009377D5" w:rsidP="00BF0C69">
      <w:pPr>
        <w:pStyle w:val="Text"/>
      </w:pPr>
      <w:r>
        <w:t xml:space="preserve">This class file contains the complete implementation of Java platform code of tilt shift blur, &amp; subsequent calls to native methods in </w:t>
      </w:r>
      <w:proofErr w:type="spellStart"/>
      <w:r>
        <w:t>cpp</w:t>
      </w:r>
      <w:proofErr w:type="spellEnd"/>
      <w:r>
        <w:t xml:space="preserve"> &amp; neon libraries.</w:t>
      </w:r>
    </w:p>
    <w:p w:rsidR="00DE77F2" w:rsidRDefault="009377D5" w:rsidP="00BF0C69">
      <w:pPr>
        <w:pStyle w:val="Text"/>
      </w:pPr>
      <w:r w:rsidRPr="0001341B">
        <w:lastRenderedPageBreak/>
        <w:t xml:space="preserve">First method </w:t>
      </w:r>
      <w:proofErr w:type="spellStart"/>
      <w:r w:rsidRPr="0001341B">
        <w:t>tiltBlur_</w:t>
      </w:r>
      <w:proofErr w:type="gramStart"/>
      <w:r w:rsidRPr="0001341B">
        <w:t>cpp</w:t>
      </w:r>
      <w:proofErr w:type="spellEnd"/>
      <w:r w:rsidRPr="0001341B">
        <w:t>(</w:t>
      </w:r>
      <w:proofErr w:type="gramEnd"/>
      <w:r w:rsidRPr="0001341B">
        <w:t xml:space="preserve">) is the code section that takes care of C++ platform blurring. This call is made from </w:t>
      </w:r>
      <w:proofErr w:type="spellStart"/>
      <w:r w:rsidRPr="0001341B">
        <w:t>MainActivity</w:t>
      </w:r>
      <w:proofErr w:type="spellEnd"/>
      <w:r w:rsidRPr="0001341B">
        <w:t xml:space="preserve"> &amp; method receives the original raw image &amp; subsequent a0</w:t>
      </w:r>
      <w:proofErr w:type="gramStart"/>
      <w:r w:rsidRPr="0001341B">
        <w:t>,a1,a2,a3</w:t>
      </w:r>
      <w:proofErr w:type="gramEnd"/>
      <w:r w:rsidRPr="0001341B">
        <w:t xml:space="preserve"> and near &amp; far sigma values as parameters. We first perform the scaling of received sigma values &amp; also evaluate width-height of input image to store respective pixels in an array </w:t>
      </w:r>
      <w:proofErr w:type="spellStart"/>
      <w:r w:rsidRPr="0001341B">
        <w:t>datastructure</w:t>
      </w:r>
      <w:proofErr w:type="spellEnd"/>
      <w:r w:rsidR="0001341B">
        <w:t xml:space="preserve">. Then these updated information is passed to </w:t>
      </w:r>
      <w:proofErr w:type="spellStart"/>
      <w:proofErr w:type="gramStart"/>
      <w:r w:rsidR="0001341B" w:rsidRPr="0001341B">
        <w:t>tiltshiftcppnative</w:t>
      </w:r>
      <w:proofErr w:type="spellEnd"/>
      <w:r w:rsidR="0001341B" w:rsidRPr="0001341B">
        <w:t>(</w:t>
      </w:r>
      <w:proofErr w:type="gramEnd"/>
      <w:r w:rsidR="0001341B" w:rsidRPr="0001341B">
        <w:t xml:space="preserve">) method that resides in </w:t>
      </w:r>
      <w:proofErr w:type="spellStart"/>
      <w:r w:rsidR="0001341B" w:rsidRPr="0001341B">
        <w:t>cpp</w:t>
      </w:r>
      <w:proofErr w:type="spellEnd"/>
      <w:r w:rsidR="0001341B" w:rsidRPr="0001341B">
        <w:t xml:space="preserve"> library &amp; implements the tilt shift blur operation for C++ platform. Similar approach is used for Neon intrinsic case where </w:t>
      </w:r>
      <w:proofErr w:type="spellStart"/>
      <w:r w:rsidR="0001341B" w:rsidRPr="0001341B">
        <w:t>tiltshift_neon_</w:t>
      </w:r>
      <w:proofErr w:type="gramStart"/>
      <w:r w:rsidR="0001341B" w:rsidRPr="0001341B">
        <w:t>intrinsic</w:t>
      </w:r>
      <w:proofErr w:type="spellEnd"/>
      <w:r w:rsidR="0001341B" w:rsidRPr="0001341B">
        <w:t>(</w:t>
      </w:r>
      <w:proofErr w:type="gramEnd"/>
      <w:r w:rsidR="0001341B" w:rsidRPr="0001341B">
        <w:t xml:space="preserve">) is method </w:t>
      </w:r>
      <w:r w:rsidR="0001341B">
        <w:t xml:space="preserve"> </w:t>
      </w:r>
      <w:r w:rsidR="0001341B" w:rsidRPr="0001341B">
        <w:t>that takes care of blurring</w:t>
      </w:r>
      <w:r w:rsidR="0001341B">
        <w:t xml:space="preserve"> with Neon as platform</w:t>
      </w:r>
      <w:r w:rsidR="0001341B" w:rsidRPr="0001341B">
        <w:t>.</w:t>
      </w:r>
      <w:r w:rsidR="0001341B">
        <w:t xml:space="preserve"> Same steps are followed in this </w:t>
      </w:r>
      <w:proofErr w:type="spellStart"/>
      <w:r w:rsidR="0001341B">
        <w:t>methos</w:t>
      </w:r>
      <w:proofErr w:type="spellEnd"/>
      <w:r w:rsidR="0001341B">
        <w:t xml:space="preserve"> as well before a call is made to </w:t>
      </w:r>
      <w:proofErr w:type="spellStart"/>
      <w:proofErr w:type="gramStart"/>
      <w:r w:rsidR="0001341B" w:rsidRPr="0001341B">
        <w:t>tiltshiftneonnative</w:t>
      </w:r>
      <w:proofErr w:type="spellEnd"/>
      <w:r w:rsidR="0001341B" w:rsidRPr="0001341B">
        <w:t>(</w:t>
      </w:r>
      <w:proofErr w:type="gramEnd"/>
      <w:r w:rsidR="0001341B" w:rsidRPr="0001341B">
        <w:t>) method defined in Neon intrinsic library to perform blurring.</w:t>
      </w:r>
    </w:p>
    <w:p w:rsidR="00BF0C69" w:rsidRPr="00B169F8" w:rsidRDefault="00DE77F2" w:rsidP="00BF0C69">
      <w:pPr>
        <w:pStyle w:val="Text"/>
      </w:pPr>
      <w:r>
        <w:t xml:space="preserve">The complete tilt shift blur operation is performed in this class using </w:t>
      </w:r>
      <w:proofErr w:type="spellStart"/>
      <w:r w:rsidRPr="00DE77F2">
        <w:t>tiltBlur_</w:t>
      </w:r>
      <w:proofErr w:type="gramStart"/>
      <w:r w:rsidRPr="00DE77F2">
        <w:t>java</w:t>
      </w:r>
      <w:proofErr w:type="spellEnd"/>
      <w:r w:rsidRPr="00DE77F2">
        <w:t>(</w:t>
      </w:r>
      <w:proofErr w:type="gramEnd"/>
      <w:r w:rsidRPr="00DE77F2">
        <w:t>) method &amp; other supporting utility methods residing in this class.</w:t>
      </w:r>
      <w:r w:rsidR="0031002D">
        <w:t xml:space="preserve"> </w:t>
      </w:r>
      <w:proofErr w:type="spellStart"/>
      <w:proofErr w:type="gramStart"/>
      <w:r w:rsidR="0031002D" w:rsidRPr="0031002D">
        <w:t>firstTransform</w:t>
      </w:r>
      <w:proofErr w:type="spellEnd"/>
      <w:r w:rsidR="0031002D" w:rsidRPr="0031002D">
        <w:t>(</w:t>
      </w:r>
      <w:proofErr w:type="gramEnd"/>
      <w:r w:rsidR="0031002D" w:rsidRPr="0031002D">
        <w:t xml:space="preserve">) &amp; </w:t>
      </w:r>
      <w:proofErr w:type="spellStart"/>
      <w:r w:rsidR="0031002D" w:rsidRPr="0031002D">
        <w:t>secondTransform</w:t>
      </w:r>
      <w:proofErr w:type="spellEnd"/>
      <w:r w:rsidR="0031002D" w:rsidRPr="0031002D">
        <w:t>() are the two main helpers methods in the implementation along wit</w:t>
      </w:r>
      <w:r w:rsidR="0031002D">
        <w:t xml:space="preserve">h other utility methods such as </w:t>
      </w:r>
      <w:proofErr w:type="spellStart"/>
      <w:r w:rsidR="0031002D" w:rsidRPr="0031002D">
        <w:t>colorGaussBlur</w:t>
      </w:r>
      <w:proofErr w:type="spellEnd"/>
      <w:r w:rsidR="0031002D" w:rsidRPr="0031002D">
        <w:t>(),</w:t>
      </w:r>
      <w:r w:rsidR="0031002D">
        <w:t xml:space="preserve"> </w:t>
      </w:r>
      <w:proofErr w:type="spellStart"/>
      <w:r w:rsidR="0031002D" w:rsidRPr="0031002D">
        <w:t>getGaussian</w:t>
      </w:r>
      <w:proofErr w:type="spellEnd"/>
      <w:r w:rsidR="0031002D" w:rsidRPr="0031002D">
        <w:t>(),</w:t>
      </w:r>
      <w:r w:rsidR="0031002D">
        <w:t xml:space="preserve"> </w:t>
      </w:r>
      <w:proofErr w:type="spellStart"/>
      <w:r w:rsidR="0031002D" w:rsidRPr="0031002D">
        <w:t>kernelMatrix</w:t>
      </w:r>
      <w:proofErr w:type="spellEnd"/>
      <w:r w:rsidR="0031002D" w:rsidRPr="0031002D">
        <w:t>().</w:t>
      </w:r>
    </w:p>
    <w:p w:rsidR="005863DD" w:rsidRDefault="004E62AE" w:rsidP="00BF0C69">
      <w:pPr>
        <w:pStyle w:val="Text"/>
      </w:pPr>
      <w:r w:rsidRPr="004E62AE">
        <w:t>Method</w:t>
      </w:r>
      <w:r>
        <w:t xml:space="preserve"> </w:t>
      </w:r>
      <w:proofErr w:type="spellStart"/>
      <w:proofErr w:type="gramStart"/>
      <w:r w:rsidRPr="0031002D">
        <w:t>kernelMatrix</w:t>
      </w:r>
      <w:proofErr w:type="spellEnd"/>
      <w:r>
        <w:t>(</w:t>
      </w:r>
      <w:proofErr w:type="gramEnd"/>
      <w:r>
        <w:t>) is defined in file</w:t>
      </w:r>
      <w:r w:rsidRPr="004E62AE">
        <w:t xml:space="preserve"> to calculate </w:t>
      </w:r>
      <w:r>
        <w:t>the entire G</w:t>
      </w:r>
      <w:r w:rsidRPr="004E62AE">
        <w:t>aussian vector</w:t>
      </w:r>
      <w:r>
        <w:t>. Depending on size of radius r, it create the G</w:t>
      </w:r>
      <w:r w:rsidRPr="004E62AE">
        <w:t>aussian vector of size (2*r+1).</w:t>
      </w:r>
      <w:r w:rsidR="004C2BDA">
        <w:t xml:space="preserve"> For this we utilize </w:t>
      </w:r>
      <w:r w:rsidR="004C2BDA" w:rsidRPr="004C2BDA">
        <w:t>Gaussian vector radius for near &amp; far pixels</w:t>
      </w:r>
      <w:r w:rsidR="005863DD">
        <w:t xml:space="preserve"> based on sigma value</w:t>
      </w:r>
      <w:r w:rsidR="004C2BDA">
        <w:t>.</w:t>
      </w:r>
      <w:r w:rsidR="005863DD">
        <w:t xml:space="preserve"> </w:t>
      </w:r>
      <w:proofErr w:type="spellStart"/>
      <w:proofErr w:type="gramStart"/>
      <w:r w:rsidR="005863DD" w:rsidRPr="005863DD">
        <w:t>getGaussian</w:t>
      </w:r>
      <w:proofErr w:type="spellEnd"/>
      <w:r w:rsidR="005863DD" w:rsidRPr="005863DD">
        <w:t>(</w:t>
      </w:r>
      <w:proofErr w:type="gramEnd"/>
      <w:r w:rsidR="005863DD" w:rsidRPr="005863DD">
        <w:t>) is the method that calculates this value</w:t>
      </w:r>
      <w:r w:rsidR="005863DD">
        <w:t xml:space="preserve"> by implementing the Gaussian kernel formula discussed in MATH section of this document</w:t>
      </w:r>
      <w:r w:rsidR="005863DD" w:rsidRPr="005863DD">
        <w:t>.</w:t>
      </w:r>
      <w:r w:rsidR="00B169F8">
        <w:t xml:space="preserve"> </w:t>
      </w:r>
    </w:p>
    <w:p w:rsidR="00B169F8" w:rsidRDefault="00B169F8" w:rsidP="00BF0C69">
      <w:pPr>
        <w:pStyle w:val="Text"/>
      </w:pPr>
      <w:proofErr w:type="spellStart"/>
      <w:proofErr w:type="gramStart"/>
      <w:r w:rsidRPr="00B169F8">
        <w:t>firstTransform</w:t>
      </w:r>
      <w:proofErr w:type="spellEnd"/>
      <w:r>
        <w:t>(</w:t>
      </w:r>
      <w:proofErr w:type="gramEnd"/>
      <w:r>
        <w:t>) method is called to calculate first transform on each pixel of image. We iterate width wise in each row of image. The outer loop runs first from 0</w:t>
      </w:r>
      <w:r w:rsidRPr="00B169F8">
        <w:t>th</w:t>
      </w:r>
      <w:r>
        <w:t xml:space="preserve"> row to a0th, then from a0 to a1 row with new kernel vector based on updated sigma value for this section &amp; so on so forth for a2 to a3 section &amp; for a3 to bottom of image. Similar brute force approach is taken to calculate second transform on image by calling </w:t>
      </w:r>
      <w:proofErr w:type="spellStart"/>
      <w:proofErr w:type="gramStart"/>
      <w:r w:rsidRPr="00B169F8">
        <w:t>secondTransform</w:t>
      </w:r>
      <w:proofErr w:type="spellEnd"/>
      <w:r w:rsidRPr="00B169F8">
        <w:t>(</w:t>
      </w:r>
      <w:proofErr w:type="gramEnd"/>
      <w:r w:rsidRPr="00B169F8">
        <w:t>) method.</w:t>
      </w:r>
      <w:r>
        <w:t xml:space="preserve"> </w:t>
      </w:r>
      <w:r w:rsidR="0077109A">
        <w:t>Since each pixel is comprised in ARGB_8888 form (each of A</w:t>
      </w:r>
      <w:proofErr w:type="gramStart"/>
      <w:r w:rsidR="0077109A">
        <w:t>,R,G</w:t>
      </w:r>
      <w:proofErr w:type="gramEnd"/>
      <w:r w:rsidR="0077109A">
        <w:t xml:space="preserve"> &amp; B is represented by 8-bits), we </w:t>
      </w:r>
      <w:r w:rsidR="0077109A" w:rsidRPr="0077109A">
        <w:t>calculate row transform for the each pixel on the given index</w:t>
      </w:r>
      <w:r w:rsidR="0077109A">
        <w:t xml:space="preserve"> by the calling </w:t>
      </w:r>
      <w:proofErr w:type="spellStart"/>
      <w:r w:rsidR="0077109A" w:rsidRPr="0031002D">
        <w:t>colorGaussBlur</w:t>
      </w:r>
      <w:proofErr w:type="spellEnd"/>
      <w:r w:rsidR="0077109A">
        <w:t xml:space="preserve">() method that performs the </w:t>
      </w:r>
      <w:proofErr w:type="spellStart"/>
      <w:r w:rsidR="0077109A">
        <w:t>colour</w:t>
      </w:r>
      <w:proofErr w:type="spellEnd"/>
      <w:r w:rsidR="0077109A">
        <w:t xml:space="preserve"> wise transform on respective R,G or B bytes.</w:t>
      </w:r>
      <w:r w:rsidR="005863DD">
        <w:t xml:space="preserve"> We finally merge these updated bytes in end of both these method to get back the complete value of transformed pixel.</w:t>
      </w:r>
    </w:p>
    <w:p w:rsidR="004E62AE" w:rsidRDefault="004E62AE" w:rsidP="00BF0C69">
      <w:pPr>
        <w:pStyle w:val="Text"/>
      </w:pPr>
      <w:proofErr w:type="spellStart"/>
      <w:proofErr w:type="gramStart"/>
      <w:r w:rsidRPr="0031002D">
        <w:t>colorGaussBlur</w:t>
      </w:r>
      <w:proofErr w:type="spellEnd"/>
      <w:r>
        <w:t>(</w:t>
      </w:r>
      <w:proofErr w:type="gramEnd"/>
      <w:r>
        <w:t xml:space="preserve">) method is used </w:t>
      </w:r>
      <w:r w:rsidRPr="004E62AE">
        <w:t>to calculate transform of each color of an individual pixel</w:t>
      </w:r>
      <w:r>
        <w:t>. This is done by shifting the bits of pixel for respective R</w:t>
      </w:r>
      <w:proofErr w:type="gramStart"/>
      <w:r>
        <w:t>,G</w:t>
      </w:r>
      <w:proofErr w:type="gramEnd"/>
      <w:r>
        <w:t xml:space="preserve"> or B byte &amp; </w:t>
      </w:r>
      <w:proofErr w:type="spellStart"/>
      <w:r>
        <w:t>ANDing</w:t>
      </w:r>
      <w:proofErr w:type="spellEnd"/>
      <w:r>
        <w:t xml:space="preserve"> with 0xff. We then multiply this with corresponding kernel matrix value to get updated value of R</w:t>
      </w:r>
      <w:proofErr w:type="gramStart"/>
      <w:r>
        <w:t>,G</w:t>
      </w:r>
      <w:proofErr w:type="gramEnd"/>
      <w:r>
        <w:t xml:space="preserve"> or B byte of pixel. </w:t>
      </w:r>
    </w:p>
    <w:p w:rsidR="00E97B99" w:rsidRDefault="0086285A" w:rsidP="00E97B99">
      <w:pPr>
        <w:pStyle w:val="Heading1"/>
      </w:pPr>
      <w:r>
        <w:t>Math</w:t>
      </w:r>
    </w:p>
    <w:p w:rsidR="001346F5" w:rsidRPr="008D0A66" w:rsidRDefault="008D0A66" w:rsidP="008D0A66">
      <w:pPr>
        <w:autoSpaceDE w:val="0"/>
        <w:autoSpaceDN w:val="0"/>
        <w:adjustRightInd w:val="0"/>
      </w:pPr>
      <w:r>
        <w:t xml:space="preserve">To implement </w:t>
      </w:r>
      <w:r w:rsidRPr="008D0A66">
        <w:t xml:space="preserve">Gaussian blur </w:t>
      </w:r>
      <w:r>
        <w:t>we perform</w:t>
      </w:r>
      <w:r w:rsidRPr="008D0A66">
        <w:t xml:space="preserve"> two independent transforms across each x-y dimension</w:t>
      </w:r>
      <w:r>
        <w:t>s</w:t>
      </w:r>
      <w:r w:rsidRPr="008D0A66">
        <w:t>. To</w:t>
      </w:r>
      <w:r>
        <w:t xml:space="preserve"> </w:t>
      </w:r>
      <w:r w:rsidRPr="008D0A66">
        <w:t xml:space="preserve">do this, </w:t>
      </w:r>
      <w:r>
        <w:t xml:space="preserve">we </w:t>
      </w:r>
      <w:r w:rsidRPr="008D0A66">
        <w:t>generate Gaussian kernel vector G</w:t>
      </w:r>
      <w:r w:rsidR="001346F5" w:rsidRPr="001346F5">
        <w:t>, where</w:t>
      </w:r>
      <w:r w:rsidR="001346F5" w:rsidRPr="008D0A66">
        <w:t xml:space="preserve"> </w:t>
      </w:r>
      <w:r w:rsidRPr="008D0A66">
        <w:t>k</w:t>
      </w:r>
      <w:r w:rsidR="001346F5">
        <w:rPr>
          <w:rFonts w:ascii="Cambria Math" w:eastAsia="CambriaMath" w:hAnsi="Cambria Math" w:cs="Cambria Math"/>
          <w:sz w:val="22"/>
          <w:szCs w:val="22"/>
          <w:lang w:val="en-IN"/>
        </w:rPr>
        <w:t xml:space="preserve"> </w:t>
      </w:r>
      <w:r w:rsidR="001346F5">
        <w:rPr>
          <w:rFonts w:ascii="CambriaMath" w:eastAsia="CambriaMath" w:hAnsi="Garamond" w:cs="CambriaMath" w:hint="eastAsia"/>
          <w:sz w:val="22"/>
          <w:szCs w:val="22"/>
          <w:lang w:val="en-IN"/>
        </w:rPr>
        <w:t>∈</w:t>
      </w:r>
      <w:r w:rsidR="001346F5">
        <w:rPr>
          <w:rFonts w:ascii="CambriaMath" w:eastAsia="CambriaMath" w:hAnsi="Garamond" w:cs="CambriaMath"/>
          <w:sz w:val="22"/>
          <w:szCs w:val="22"/>
          <w:lang w:val="en-IN"/>
        </w:rPr>
        <w:t xml:space="preserve"> [-r,</w:t>
      </w:r>
      <w:r w:rsidR="00C93DA3">
        <w:rPr>
          <w:rFonts w:ascii="CambriaMath" w:eastAsia="CambriaMath" w:hAnsi="Garamond" w:cs="CambriaMath"/>
          <w:sz w:val="22"/>
          <w:szCs w:val="22"/>
          <w:lang w:val="en-IN"/>
        </w:rPr>
        <w:t xml:space="preserve"> </w:t>
      </w:r>
      <w:r w:rsidR="001346F5">
        <w:rPr>
          <w:rFonts w:ascii="CambriaMath" w:eastAsia="CambriaMath" w:hAnsi="Garamond" w:cs="CambriaMath"/>
          <w:sz w:val="22"/>
          <w:szCs w:val="22"/>
          <w:lang w:val="en-IN"/>
        </w:rPr>
        <w:t xml:space="preserve">r] </w:t>
      </w:r>
      <w:r>
        <w:rPr>
          <w:rFonts w:ascii="CambriaMath" w:eastAsia="CambriaMath" w:hAnsi="Garamond" w:cs="CambriaMath"/>
          <w:sz w:val="22"/>
          <w:szCs w:val="22"/>
          <w:lang w:val="en-IN"/>
        </w:rPr>
        <w:t xml:space="preserve">and </w:t>
      </w:r>
      <w:r>
        <w:rPr>
          <w:rFonts w:ascii="Garamond" w:hAnsi="Garamond" w:cs="Garamond"/>
          <w:sz w:val="22"/>
          <w:szCs w:val="22"/>
          <w:lang w:val="en-IN"/>
        </w:rPr>
        <w:t xml:space="preserve">given </w:t>
      </w:r>
      <w:r w:rsidR="001346F5">
        <w:rPr>
          <w:rFonts w:ascii="Garamond" w:hAnsi="Garamond" w:cs="Garamond"/>
          <w:sz w:val="22"/>
          <w:szCs w:val="22"/>
          <w:lang w:val="en-IN"/>
        </w:rPr>
        <w:t xml:space="preserve">by </w:t>
      </w:r>
      <w:r>
        <w:rPr>
          <w:rFonts w:ascii="Garamond" w:hAnsi="Garamond" w:cs="Garamond"/>
          <w:sz w:val="22"/>
          <w:szCs w:val="22"/>
          <w:lang w:val="en-IN"/>
        </w:rPr>
        <w:t>below</w:t>
      </w:r>
      <w:r w:rsidR="001346F5">
        <w:rPr>
          <w:rFonts w:ascii="Garamond" w:hAnsi="Garamond" w:cs="Garamond"/>
          <w:sz w:val="22"/>
          <w:szCs w:val="22"/>
          <w:lang w:val="en-IN"/>
        </w:rPr>
        <w:t xml:space="preserve"> equation: </w:t>
      </w:r>
    </w:p>
    <w:p w:rsidR="001346F5" w:rsidRDefault="0094593E" w:rsidP="001346F5">
      <w:pPr>
        <w:rPr>
          <w:rFonts w:ascii="Garamond" w:hAnsi="Garamond" w:cs="Garamond"/>
          <w:sz w:val="22"/>
          <w:szCs w:val="22"/>
          <w:lang w:val="en-IN"/>
        </w:rPr>
      </w:pPr>
      <m:oMathPara>
        <m:oMath>
          <m:sSup>
            <m:sSupPr>
              <m:ctrlPr>
                <w:rPr>
                  <w:rFonts w:ascii="Cambria Math" w:hAnsi="Cambria Math" w:cs="Garamond"/>
                  <w:i/>
                  <w:sz w:val="22"/>
                  <w:szCs w:val="22"/>
                  <w:lang w:val="en-IN"/>
                </w:rPr>
              </m:ctrlPr>
            </m:sSupPr>
            <m:e>
              <m:r>
                <w:rPr>
                  <w:rFonts w:ascii="Cambria Math" w:hAnsi="Cambria Math" w:cs="Garamond"/>
                  <w:sz w:val="22"/>
                  <w:szCs w:val="22"/>
                  <w:lang w:val="en-IN"/>
                </w:rPr>
                <m:t>G</m:t>
              </m:r>
              <m:d>
                <m:dPr>
                  <m:ctrlPr>
                    <w:rPr>
                      <w:rFonts w:ascii="Cambria Math" w:hAnsi="Cambria Math" w:cs="Garamond"/>
                      <w:i/>
                      <w:sz w:val="22"/>
                      <w:szCs w:val="22"/>
                      <w:lang w:val="en-IN"/>
                    </w:rPr>
                  </m:ctrlPr>
                </m:dPr>
                <m:e>
                  <m:r>
                    <w:rPr>
                      <w:rFonts w:ascii="Cambria Math" w:hAnsi="Cambria Math" w:cs="Garamond"/>
                      <w:sz w:val="22"/>
                      <w:szCs w:val="22"/>
                      <w:lang w:val="en-IN"/>
                    </w:rPr>
                    <m:t>k</m:t>
                  </m:r>
                </m:e>
              </m:d>
              <m:r>
                <w:rPr>
                  <w:rFonts w:ascii="Cambria Math" w:hAnsi="Cambria Math" w:cs="Garamond"/>
                  <w:sz w:val="22"/>
                  <w:szCs w:val="22"/>
                  <w:lang w:val="en-IN"/>
                </w:rPr>
                <m:t xml:space="preserve">= </m:t>
              </m:r>
              <m:f>
                <m:fPr>
                  <m:ctrlPr>
                    <w:rPr>
                      <w:rFonts w:ascii="Cambria Math" w:hAnsi="Cambria Math" w:cs="Garamond"/>
                      <w:i/>
                    </w:rPr>
                  </m:ctrlPr>
                </m:fPr>
                <m:num>
                  <m:r>
                    <w:rPr>
                      <w:rFonts w:ascii="Cambria Math" w:hAnsi="Cambria Math" w:cs="Garamond"/>
                    </w:rPr>
                    <m:t>1</m:t>
                  </m:r>
                </m:num>
                <m:den>
                  <m:r>
                    <w:rPr>
                      <w:rFonts w:ascii="Cambria Math" w:hAnsi="Cambria Math" w:cs="Garamond"/>
                    </w:rPr>
                    <m:t>2π</m:t>
                  </m:r>
                  <m:sSup>
                    <m:sSupPr>
                      <m:ctrlPr>
                        <w:rPr>
                          <w:rFonts w:ascii="Cambria Math" w:hAnsi="Cambria Math" w:cs="Garamond"/>
                          <w:i/>
                        </w:rPr>
                      </m:ctrlPr>
                    </m:sSupPr>
                    <m:e>
                      <m:r>
                        <w:rPr>
                          <w:rFonts w:ascii="Cambria Math" w:hAnsi="Cambria Math" w:cs="Garamond"/>
                        </w:rPr>
                        <m:t>σ</m:t>
                      </m:r>
                    </m:e>
                    <m:sup>
                      <m:r>
                        <w:rPr>
                          <w:rFonts w:ascii="Cambria Math" w:hAnsi="Cambria Math" w:cs="Garamond"/>
                        </w:rPr>
                        <m:t>2</m:t>
                      </m:r>
                    </m:sup>
                  </m:sSup>
                </m:den>
              </m:f>
              <m:r>
                <w:rPr>
                  <w:rFonts w:ascii="Cambria Math" w:hAnsi="Cambria Math" w:cs="Garamond"/>
                </w:rPr>
                <m:t>. e</m:t>
              </m:r>
            </m:e>
            <m:sup>
              <m:r>
                <w:rPr>
                  <w:rFonts w:ascii="Cambria Math" w:hAnsi="Cambria Math" w:cs="Garamond"/>
                </w:rPr>
                <m:t>-(</m:t>
              </m:r>
              <m:f>
                <m:fPr>
                  <m:ctrlPr>
                    <w:rPr>
                      <w:rFonts w:ascii="Cambria Math" w:hAnsi="Cambria Math" w:cs="Garamond"/>
                    </w:rPr>
                  </m:ctrlPr>
                </m:fPr>
                <m:num>
                  <m:r>
                    <m:rPr>
                      <m:sty m:val="p"/>
                    </m:rPr>
                    <w:rPr>
                      <w:rFonts w:ascii="Cambria Math" w:hAnsi="Cambria Math" w:cs="Cambria Math"/>
                    </w:rPr>
                    <m:t>k</m:t>
                  </m:r>
                </m:num>
                <m:den>
                  <m:sSup>
                    <m:sSupPr>
                      <m:ctrlPr>
                        <w:rPr>
                          <w:rFonts w:ascii="Cambria Math" w:hAnsi="Cambria Math" w:cs="Cambria Math"/>
                        </w:rPr>
                      </m:ctrlPr>
                    </m:sSupPr>
                    <m:e>
                      <m:r>
                        <w:rPr>
                          <w:rFonts w:ascii="Cambria Math" w:hAnsi="Cambria Math" w:cs="Cambria Math"/>
                        </w:rPr>
                        <m:t>2σ</m:t>
                      </m:r>
                    </m:e>
                    <m:sup>
                      <m:r>
                        <w:rPr>
                          <w:rFonts w:ascii="Cambria Math" w:hAnsi="Cambria Math" w:cs="Cambria Math"/>
                        </w:rPr>
                        <m:t>2</m:t>
                      </m:r>
                    </m:sup>
                  </m:sSup>
                </m:den>
              </m:f>
              <m:r>
                <w:rPr>
                  <w:rFonts w:ascii="Cambria Math" w:hAnsi="Cambria Math" w:cs="Garamond"/>
                </w:rPr>
                <m:t>)</m:t>
              </m:r>
            </m:sup>
          </m:sSup>
        </m:oMath>
      </m:oMathPara>
    </w:p>
    <w:p w:rsidR="001346F5" w:rsidRDefault="001346F5" w:rsidP="00E97B99">
      <w:pPr>
        <w:pStyle w:val="Text"/>
      </w:pPr>
    </w:p>
    <w:p w:rsidR="00E97B99" w:rsidRDefault="001346F5" w:rsidP="00C93DA3">
      <w:pPr>
        <w:pStyle w:val="Text"/>
        <w:ind w:firstLine="0"/>
      </w:pPr>
      <w:r>
        <w:t>If σ is less than 0.6, then we clamp σ</w:t>
      </w:r>
      <w:r w:rsidR="008D0A66">
        <w:t xml:space="preserve"> to 0.6</w:t>
      </w:r>
    </w:p>
    <w:p w:rsidR="00C93DA3" w:rsidRDefault="00C93DA3" w:rsidP="00C93DA3">
      <w:pPr>
        <w:pStyle w:val="Text"/>
      </w:pPr>
      <w:r>
        <w:t xml:space="preserve">After applying the first transform, we get the intermediate matrix, say q(y, x) which is given by below </w:t>
      </w:r>
      <w:proofErr w:type="gramStart"/>
      <w:r>
        <w:t>equation :</w:t>
      </w:r>
      <w:proofErr w:type="gramEnd"/>
      <w:r>
        <w:br/>
      </w:r>
    </w:p>
    <w:p w:rsidR="00C93DA3" w:rsidRDefault="00C93DA3" w:rsidP="00C93DA3">
      <w:pPr>
        <w:pStyle w:val="Text"/>
        <w:ind w:firstLine="0"/>
      </w:pPr>
      <w:r>
        <w:t>q(</w:t>
      </w:r>
      <w:proofErr w:type="gramStart"/>
      <w:r>
        <w:t>y</w:t>
      </w:r>
      <w:proofErr w:type="gramEnd"/>
      <w:r>
        <w:t xml:space="preserve">, x) = G(-r)*p(y-r, x), +..+ </w:t>
      </w:r>
      <w:proofErr w:type="gramStart"/>
      <w:r>
        <w:t>G(</w:t>
      </w:r>
      <w:proofErr w:type="gramEnd"/>
      <w:r>
        <w:t>0)*p(y, x),+..</w:t>
      </w:r>
      <w:r w:rsidRPr="00C93DA3">
        <w:t>+ G(r)*p(</w:t>
      </w:r>
      <w:proofErr w:type="spellStart"/>
      <w:r w:rsidRPr="00C93DA3">
        <w:t>y+r</w:t>
      </w:r>
      <w:proofErr w:type="spellEnd"/>
      <w:r w:rsidRPr="00C93DA3">
        <w:t>, x)</w:t>
      </w:r>
      <w:r>
        <w:t xml:space="preserve"> </w:t>
      </w:r>
    </w:p>
    <w:p w:rsidR="00E97B99" w:rsidRDefault="00E97B99" w:rsidP="00E97B99">
      <w:pPr>
        <w:pStyle w:val="Text"/>
      </w:pPr>
    </w:p>
    <w:p w:rsidR="00E97B99" w:rsidRDefault="00C93DA3" w:rsidP="00E97B99">
      <w:pPr>
        <w:pStyle w:val="Text"/>
      </w:pPr>
      <w:r>
        <w:t xml:space="preserve">Similarly for second transform we take the similar approach but here use the intermediate matrix generated in previous step to generate the final output image. This transformation is formulated as </w:t>
      </w:r>
      <w:proofErr w:type="gramStart"/>
      <w:r>
        <w:t>below :</w:t>
      </w:r>
      <w:proofErr w:type="gramEnd"/>
    </w:p>
    <w:p w:rsidR="00EE654E" w:rsidRDefault="00EE654E" w:rsidP="00C93DA3">
      <w:pPr>
        <w:pStyle w:val="Text"/>
        <w:ind w:firstLine="0"/>
      </w:pPr>
    </w:p>
    <w:p w:rsidR="00EE654E" w:rsidRDefault="00C93DA3" w:rsidP="00C93DA3">
      <w:pPr>
        <w:pStyle w:val="Text"/>
        <w:ind w:firstLine="0"/>
      </w:pPr>
      <w:r>
        <w:t xml:space="preserve">P(y, x) = </w:t>
      </w:r>
      <w:proofErr w:type="gramStart"/>
      <w:r>
        <w:t>G(</w:t>
      </w:r>
      <w:proofErr w:type="gramEnd"/>
      <w:r>
        <w:t>-r)*q(y, x-r), +..</w:t>
      </w:r>
      <w:r w:rsidRPr="00C93DA3">
        <w:t xml:space="preserve">+ </w:t>
      </w:r>
      <w:proofErr w:type="gramStart"/>
      <w:r w:rsidRPr="00C93DA3">
        <w:t>G(</w:t>
      </w:r>
      <w:proofErr w:type="gramEnd"/>
      <w:r w:rsidRPr="00C93DA3">
        <w:t xml:space="preserve">0)*q(y, x),+ </w:t>
      </w:r>
      <w:r>
        <w:t>..</w:t>
      </w:r>
      <w:r w:rsidR="00EE654E">
        <w:t>+ G(r)*q(</w:t>
      </w:r>
      <w:proofErr w:type="spellStart"/>
      <w:r w:rsidR="00EE654E">
        <w:t>y</w:t>
      </w:r>
      <w:proofErr w:type="gramStart"/>
      <w:r w:rsidR="00EE654E">
        <w:t>,</w:t>
      </w:r>
      <w:r w:rsidRPr="00C93DA3">
        <w:t>x</w:t>
      </w:r>
      <w:proofErr w:type="gramEnd"/>
      <w:r w:rsidRPr="00C93DA3">
        <w:t>+r</w:t>
      </w:r>
      <w:proofErr w:type="spellEnd"/>
      <w:r w:rsidRPr="00C93DA3">
        <w:t>)</w:t>
      </w:r>
    </w:p>
    <w:p w:rsidR="00EE654E" w:rsidRDefault="00EE654E" w:rsidP="00C93DA3">
      <w:pPr>
        <w:pStyle w:val="Text"/>
        <w:ind w:firstLine="0"/>
      </w:pPr>
    </w:p>
    <w:p w:rsidR="00E97B99" w:rsidRDefault="00EE654E" w:rsidP="00E97B99">
      <w:pPr>
        <w:pStyle w:val="Heading1"/>
      </w:pPr>
      <w:r>
        <w:t>Evaluation &amp; benchmarking</w:t>
      </w:r>
    </w:p>
    <w:p w:rsidR="004132ED" w:rsidRPr="004132ED" w:rsidRDefault="004132ED" w:rsidP="004132ED">
      <w:pPr>
        <w:pStyle w:val="NormalWeb"/>
        <w:spacing w:before="0" w:beforeAutospacing="0" w:after="0" w:afterAutospacing="0"/>
        <w:ind w:firstLine="202"/>
        <w:jc w:val="both"/>
        <w:rPr>
          <w:sz w:val="20"/>
          <w:szCs w:val="20"/>
          <w:lang w:val="en-US" w:eastAsia="en-US"/>
        </w:rPr>
      </w:pPr>
      <w:r w:rsidRPr="004132ED">
        <w:rPr>
          <w:sz w:val="20"/>
          <w:szCs w:val="20"/>
          <w:lang w:val="en-US" w:eastAsia="en-US"/>
        </w:rPr>
        <w:t>All evaluations &amp; benchmarking tests have been performed on NVIDIA shield tablet as base hardware. We have reco</w:t>
      </w:r>
      <w:r w:rsidR="001F4B01">
        <w:rPr>
          <w:sz w:val="20"/>
          <w:szCs w:val="20"/>
          <w:lang w:val="en-US" w:eastAsia="en-US"/>
        </w:rPr>
        <w:t>rded the observations for both “</w:t>
      </w:r>
      <w:r w:rsidRPr="004132ED">
        <w:rPr>
          <w:sz w:val="20"/>
          <w:szCs w:val="20"/>
          <w:lang w:val="en-US" w:eastAsia="en-US"/>
        </w:rPr>
        <w:t xml:space="preserve">Performance mode” &amp; “Optimize mode” of NVIDIA Shield tablet. All tests have been run for all three platforms for any selected image. The combinations of varying input testing conditions were used to evaluate the performance. All the subsequent observations have been listed in this section. </w:t>
      </w:r>
    </w:p>
    <w:p w:rsidR="004132ED" w:rsidRDefault="004132ED" w:rsidP="004132ED">
      <w:pPr>
        <w:pStyle w:val="NormalWeb"/>
        <w:spacing w:before="0" w:beforeAutospacing="0" w:after="0" w:afterAutospacing="0"/>
        <w:jc w:val="both"/>
        <w:rPr>
          <w:sz w:val="20"/>
          <w:szCs w:val="20"/>
          <w:lang w:val="en-US" w:eastAsia="en-US"/>
        </w:rPr>
      </w:pPr>
      <w:r w:rsidRPr="004132ED">
        <w:rPr>
          <w:sz w:val="20"/>
          <w:szCs w:val="20"/>
          <w:lang w:val="en-US" w:eastAsia="en-US"/>
        </w:rPr>
        <w:t xml:space="preserve">  We have tested application all these scenarios for three sample images provided with app as well as a high resolution image for perspectives.</w:t>
      </w:r>
    </w:p>
    <w:p w:rsidR="00A62F87" w:rsidRDefault="00F500B1" w:rsidP="00A62F87">
      <w:pPr>
        <w:pStyle w:val="Heading2"/>
        <w:numPr>
          <w:ilvl w:val="0"/>
          <w:numId w:val="0"/>
        </w:numPr>
        <w:ind w:firstLine="202"/>
        <w:rPr>
          <w:i w:val="0"/>
          <w:iCs w:val="0"/>
        </w:rPr>
      </w:pPr>
      <w:r>
        <w:rPr>
          <w:i w:val="0"/>
          <w:iCs w:val="0"/>
        </w:rPr>
        <w:t>As seen in Fig. 1, we see a</w:t>
      </w:r>
      <w:r w:rsidR="00A62F87" w:rsidRPr="00A62F87">
        <w:rPr>
          <w:i w:val="0"/>
          <w:iCs w:val="0"/>
        </w:rPr>
        <w:t xml:space="preserve"> performance improvement in our implementation as we go from Java to C++ and then further improvement as we go to</w:t>
      </w:r>
      <w:r>
        <w:rPr>
          <w:i w:val="0"/>
          <w:iCs w:val="0"/>
        </w:rPr>
        <w:t xml:space="preserve"> ARM Neo</w:t>
      </w:r>
      <w:r w:rsidR="00A62F87" w:rsidRPr="00A62F87">
        <w:rPr>
          <w:i w:val="0"/>
          <w:iCs w:val="0"/>
        </w:rPr>
        <w:t>n Intrinsics as our platform.</w:t>
      </w:r>
      <w:r>
        <w:rPr>
          <w:i w:val="0"/>
          <w:iCs w:val="0"/>
        </w:rPr>
        <w:t xml:space="preserve"> The difference is distinctly evident in cases when im</w:t>
      </w:r>
      <w:r w:rsidR="00F1562A">
        <w:rPr>
          <w:i w:val="0"/>
          <w:iCs w:val="0"/>
        </w:rPr>
        <w:t>age size is comparatively large.</w:t>
      </w:r>
    </w:p>
    <w:p w:rsidR="00F500B1" w:rsidRDefault="00F500B1" w:rsidP="00F500B1"/>
    <w:p w:rsidR="00F500B1" w:rsidRDefault="00F500B1" w:rsidP="00F500B1">
      <w:r>
        <w:rPr>
          <w:noProof/>
          <w:lang w:val="en-IN" w:eastAsia="en-IN"/>
        </w:rPr>
        <w:drawing>
          <wp:inline distT="0" distB="0" distL="0" distR="0">
            <wp:extent cx="3200400" cy="2180593"/>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200400" cy="2180593"/>
                    </a:xfrm>
                    <a:prstGeom prst="rect">
                      <a:avLst/>
                    </a:prstGeom>
                    <a:noFill/>
                    <a:ln w="9525">
                      <a:noFill/>
                      <a:miter lim="800000"/>
                      <a:headEnd/>
                      <a:tailEnd/>
                    </a:ln>
                  </pic:spPr>
                </pic:pic>
              </a:graphicData>
            </a:graphic>
          </wp:inline>
        </w:drawing>
      </w:r>
    </w:p>
    <w:p w:rsidR="00F500B1" w:rsidRPr="00F500B1" w:rsidRDefault="00F500B1" w:rsidP="00F500B1"/>
    <w:p w:rsidR="00A62F87" w:rsidRPr="00025C4C" w:rsidRDefault="00A62F87" w:rsidP="00A62F87">
      <w:r>
        <w:tab/>
        <w:t>Also we observe that the latency of execution is reduced in “Performance mode” of our underlying hardware (NVIDIA Shield tablet) as compared with “Optimized mode”.</w:t>
      </w:r>
    </w:p>
    <w:p w:rsidR="00A62F87" w:rsidRDefault="00A62F87" w:rsidP="004132ED">
      <w:pPr>
        <w:pStyle w:val="NormalWeb"/>
        <w:spacing w:before="0" w:beforeAutospacing="0" w:after="0" w:afterAutospacing="0"/>
        <w:jc w:val="both"/>
        <w:rPr>
          <w:sz w:val="20"/>
          <w:szCs w:val="20"/>
          <w:lang w:val="en-US" w:eastAsia="en-US"/>
        </w:rPr>
      </w:pPr>
    </w:p>
    <w:p w:rsidR="00E32575" w:rsidRPr="004132ED" w:rsidRDefault="00E32575" w:rsidP="004132ED">
      <w:pPr>
        <w:pStyle w:val="NormalWeb"/>
        <w:spacing w:before="0" w:beforeAutospacing="0" w:after="0" w:afterAutospacing="0"/>
        <w:jc w:val="both"/>
        <w:rPr>
          <w:sz w:val="20"/>
          <w:szCs w:val="20"/>
          <w:lang w:val="en-US" w:eastAsia="en-US"/>
        </w:rPr>
      </w:pPr>
      <w:r>
        <w:rPr>
          <w:noProof/>
        </w:rPr>
        <w:lastRenderedPageBreak/>
        <w:drawing>
          <wp:inline distT="0" distB="0" distL="0" distR="0">
            <wp:extent cx="3200400" cy="1567153"/>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200400" cy="1567153"/>
                    </a:xfrm>
                    <a:prstGeom prst="rect">
                      <a:avLst/>
                    </a:prstGeom>
                    <a:noFill/>
                    <a:ln w="9525">
                      <a:noFill/>
                      <a:miter lim="800000"/>
                      <a:headEnd/>
                      <a:tailEnd/>
                    </a:ln>
                  </pic:spPr>
                </pic:pic>
              </a:graphicData>
            </a:graphic>
          </wp:inline>
        </w:drawing>
      </w:r>
    </w:p>
    <w:p w:rsidR="00961F7B" w:rsidRDefault="00961F7B" w:rsidP="00961F7B">
      <w:pPr>
        <w:pStyle w:val="Text"/>
        <w:ind w:firstLine="0"/>
      </w:pPr>
    </w:p>
    <w:p w:rsidR="00EE654E" w:rsidRDefault="00EE654E" w:rsidP="00E97B99">
      <w:pPr>
        <w:pStyle w:val="Text"/>
      </w:pPr>
    </w:p>
    <w:p w:rsidR="00E97B99" w:rsidRDefault="00E97B99" w:rsidP="00E97B99">
      <w:pPr>
        <w:pStyle w:val="Text"/>
      </w:pPr>
      <w:r>
        <w:t xml:space="preserve">The SI unit for magnetic field strength </w:t>
      </w:r>
      <w:r>
        <w:rPr>
          <w:i/>
          <w:iCs/>
        </w:rPr>
        <w:t>H</w:t>
      </w:r>
      <w:r>
        <w:t xml:space="preserve"> is A/m. However, if you wish to use units of T, either </w:t>
      </w:r>
      <w:proofErr w:type="gramStart"/>
      <w:r>
        <w:t>refer</w:t>
      </w:r>
      <w:proofErr w:type="gramEnd"/>
      <w:r>
        <w:t xml:space="preserve"> to magnetic flux density </w:t>
      </w:r>
      <w:r>
        <w:rPr>
          <w:i/>
          <w:iCs/>
        </w:rPr>
        <w:t>B</w:t>
      </w:r>
      <w:r>
        <w:t xml:space="preserve"> or magnetic field strength symbolized as </w:t>
      </w:r>
      <w:r w:rsidRPr="0036013C">
        <w:t>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 xml:space="preserve">Some Common </w:t>
      </w:r>
      <w:r w:rsidR="002D0BA3">
        <w:t xml:space="preserve">Challenges &amp; </w:t>
      </w:r>
      <w:r>
        <w:t>Mistakes</w:t>
      </w:r>
    </w:p>
    <w:p w:rsidR="00E97B99" w:rsidRDefault="002D0BA3" w:rsidP="00131245">
      <w:pPr>
        <w:pStyle w:val="Text"/>
      </w:pPr>
      <w:r>
        <w:t xml:space="preserve">Along the development of this project, we encountered few bugs/issues which we have listed in this section. These issues were at UI level as well as were related to </w:t>
      </w:r>
      <w:r w:rsidR="00131245">
        <w:t>implementation</w:t>
      </w:r>
      <w:r>
        <w:t xml:space="preserve"> logic on occasions.  </w:t>
      </w:r>
    </w:p>
    <w:p w:rsidR="00131245" w:rsidRDefault="00131245" w:rsidP="00131245">
      <w:pPr>
        <w:pStyle w:val="Text"/>
      </w:pPr>
    </w:p>
    <w:p w:rsidR="00E97402" w:rsidRDefault="00E97402" w:rsidP="001F4C5C">
      <w:pPr>
        <w:pStyle w:val="Heading1"/>
        <w:jc w:val="both"/>
      </w:pPr>
      <w:r>
        <w:t>Conclusion</w:t>
      </w:r>
    </w:p>
    <w:p w:rsidR="00025C4C" w:rsidRDefault="00DC075F" w:rsidP="00DC075F">
      <w:pPr>
        <w:pStyle w:val="Heading2"/>
        <w:numPr>
          <w:ilvl w:val="0"/>
          <w:numId w:val="0"/>
        </w:numPr>
        <w:ind w:firstLine="202"/>
        <w:rPr>
          <w:i w:val="0"/>
        </w:rPr>
      </w:pPr>
      <w:r>
        <w:rPr>
          <w:i w:val="0"/>
        </w:rPr>
        <w:t xml:space="preserve">Observing the results, we conclude that due to the vectorization approach implementations, the Neon Intrinsics platform is fastest among the three platforms under testing as it reduces the latencies incurred due to multiple load-stores by vectorizing those operations. </w:t>
      </w:r>
    </w:p>
    <w:p w:rsidR="00B37ED8" w:rsidRPr="00B37ED8" w:rsidRDefault="00B37ED8" w:rsidP="00B37ED8">
      <w:r>
        <w:tab/>
        <w:t>At the same time we wish to note that even though the speed improvements are observed in case of Neon Intrinsics &amp; C++, it comes at the cost of code complexity which is advantage of Java platform when using with Android.</w:t>
      </w:r>
    </w:p>
    <w:p w:rsidR="00F1562A" w:rsidRDefault="00F1562A" w:rsidP="001F4C5C">
      <w:pPr>
        <w:pStyle w:val="Style1"/>
        <w:jc w:val="both"/>
      </w:pPr>
    </w:p>
    <w:p w:rsidR="00E97402" w:rsidRDefault="00E97402" w:rsidP="001F4C5C">
      <w:pPr>
        <w:pStyle w:val="Style1"/>
        <w:jc w:val="both"/>
      </w:pPr>
      <w:r>
        <w:t>Acknowledg</w:t>
      </w:r>
      <w:r w:rsidR="00025C4C">
        <w:t>e</w:t>
      </w:r>
      <w:r>
        <w:t>ment</w:t>
      </w:r>
    </w:p>
    <w:p w:rsidR="00025C4C" w:rsidRPr="00025C4C" w:rsidRDefault="00025C4C" w:rsidP="00025C4C">
      <w:pPr>
        <w:ind w:right="88"/>
        <w:jc w:val="both"/>
      </w:pPr>
      <w:r w:rsidRPr="00025C4C">
        <w:t xml:space="preserve">We owe a great thanks to </w:t>
      </w:r>
      <w:r>
        <w:t xml:space="preserve">everyone </w:t>
      </w:r>
      <w:r w:rsidR="00F1562A">
        <w:t xml:space="preserve">who helped </w:t>
      </w:r>
      <w:proofErr w:type="gramStart"/>
      <w:r w:rsidRPr="00025C4C">
        <w:t xml:space="preserve">and </w:t>
      </w:r>
      <w:r>
        <w:t xml:space="preserve"> </w:t>
      </w:r>
      <w:r w:rsidRPr="00025C4C">
        <w:t>supported</w:t>
      </w:r>
      <w:proofErr w:type="gramEnd"/>
      <w:r w:rsidRPr="00025C4C">
        <w:t xml:space="preserve"> us during the completion of this project.</w:t>
      </w:r>
    </w:p>
    <w:p w:rsidR="00025C4C" w:rsidRPr="00025C4C" w:rsidRDefault="00025C4C" w:rsidP="00025C4C">
      <w:pPr>
        <w:ind w:right="76" w:firstLine="100"/>
        <w:jc w:val="both"/>
      </w:pPr>
      <w:r w:rsidRPr="00025C4C">
        <w:t xml:space="preserve">Our deepest thanks go to Prof. </w:t>
      </w:r>
      <w:r>
        <w:t xml:space="preserve">Robert </w:t>
      </w:r>
      <w:proofErr w:type="spellStart"/>
      <w:r>
        <w:t>LiKamWa</w:t>
      </w:r>
      <w:proofErr w:type="spellEnd"/>
      <w:r w:rsidRPr="00025C4C">
        <w:t xml:space="preserve">, Professor for the subject </w:t>
      </w:r>
      <w:r>
        <w:t>Mobile Systems Architecture</w:t>
      </w:r>
      <w:r w:rsidRPr="00025C4C">
        <w:t xml:space="preserve"> who acted as our mentor and guided us throughout this project. We thank him for giving ideas and briefs for the work that had to be done.</w:t>
      </w:r>
    </w:p>
    <w:p w:rsidR="00025C4C" w:rsidRPr="00025C4C" w:rsidRDefault="00025C4C" w:rsidP="00025C4C">
      <w:pPr>
        <w:ind w:right="77" w:firstLine="100"/>
        <w:jc w:val="both"/>
      </w:pPr>
      <w:r w:rsidRPr="00025C4C">
        <w:t xml:space="preserve">A special thanks to </w:t>
      </w:r>
      <w:proofErr w:type="spellStart"/>
      <w:r>
        <w:t>Jinhan</w:t>
      </w:r>
      <w:proofErr w:type="spellEnd"/>
      <w:r>
        <w:t xml:space="preserve"> </w:t>
      </w:r>
      <w:proofErr w:type="spellStart"/>
      <w:r>
        <w:t>Hu</w:t>
      </w:r>
      <w:proofErr w:type="spellEnd"/>
      <w:r w:rsidRPr="00025C4C">
        <w:t xml:space="preserve">, Teaching Assistant, </w:t>
      </w:r>
      <w:r>
        <w:t>Mobile Systems Architecture</w:t>
      </w:r>
      <w:r w:rsidRPr="00025C4C">
        <w:t>, for constant help and guidance in the labs as well as discussion group.</w:t>
      </w:r>
    </w:p>
    <w:p w:rsidR="00E97402" w:rsidRPr="00104BB0" w:rsidRDefault="00E97402" w:rsidP="0013354F">
      <w:pPr>
        <w:pStyle w:val="Text"/>
        <w:rPr>
          <w:bCs/>
        </w:rPr>
      </w:pPr>
      <w:r w:rsidRPr="00104BB0">
        <w:rPr>
          <w:bCs/>
        </w:rPr>
        <w:t>.</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111196" w:rsidP="0013354F">
      <w:pPr>
        <w:pStyle w:val="Text"/>
      </w:pPr>
      <w:r>
        <w:t>All listed r</w:t>
      </w:r>
      <w:r w:rsidR="00C075EF" w:rsidRPr="00111196">
        <w:t xml:space="preserve">eferences </w:t>
      </w:r>
      <w:r>
        <w:t>must be</w:t>
      </w:r>
      <w:r w:rsidR="00C075EF" w:rsidRPr="00111196">
        <w:t xml:space="preserve"> cited in text</w:t>
      </w:r>
      <w:r w:rsidR="004D6BF0">
        <w:t xml:space="preserve"> at least once</w:t>
      </w:r>
      <w:r w:rsidR="00C075EF">
        <w:t xml:space="preserve">. </w:t>
      </w:r>
      <w:r>
        <w:t>Use</w:t>
      </w:r>
      <w:r w:rsidR="00C075EF">
        <w:t xml:space="preserve"> number citations</w:t>
      </w:r>
      <w:r>
        <w:t xml:space="preserve"> that are placed</w:t>
      </w:r>
      <w:r w:rsidR="00C075EF">
        <w:t xml:space="preserve"> in square </w:t>
      </w:r>
      <w:r w:rsidR="00143F2E">
        <w:t xml:space="preserve">brackets </w:t>
      </w:r>
      <w:r>
        <w:t xml:space="preserve">and </w:t>
      </w:r>
      <w:r w:rsidR="00143F2E">
        <w:t>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w:t>
      </w:r>
      <w:r w:rsidR="00C075EF">
        <w:lastRenderedPageBreak/>
        <w:t>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r w:rsidR="004D6BF0">
        <w:t xml:space="preserve">  </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4D6BF0">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AE7F4F">
      <w:pPr>
        <w:pStyle w:val="Heading2"/>
      </w:pPr>
      <w:r>
        <w:t xml:space="preserve">Review Stage </w:t>
      </w:r>
      <w:r w:rsidR="00AE7F4F">
        <w:t xml:space="preserve">Using </w:t>
      </w:r>
      <w:proofErr w:type="spellStart"/>
      <w:r w:rsidR="00AE7F4F" w:rsidRPr="0088508F">
        <w:t>ScholarOne</w:t>
      </w:r>
      <w:proofErr w:type="spellEnd"/>
      <w:r w:rsidR="00AE7F4F" w:rsidRPr="001C50D7">
        <w:rPr>
          <w:color w:val="000000"/>
          <w:vertAlign w:val="superscript"/>
        </w:rPr>
        <w:t>®</w:t>
      </w:r>
      <w:r w:rsidR="00AE7F4F" w:rsidRPr="00C176FD">
        <w:t xml:space="preserve"> </w:t>
      </w:r>
      <w:r w:rsidR="00AE7F4F" w:rsidRPr="00065755">
        <w:t>Manuscripts</w:t>
      </w:r>
    </w:p>
    <w:p w:rsidR="00AE7F4F" w:rsidRDefault="00AE7F4F" w:rsidP="009C7D17">
      <w:pPr>
        <w:pStyle w:val="Text"/>
      </w:pPr>
      <w:r>
        <w:t xml:space="preserve">All manuscripts must be submitted through </w:t>
      </w:r>
      <w:proofErr w:type="spellStart"/>
      <w:r>
        <w:t>ScholarOne</w:t>
      </w:r>
      <w:proofErr w:type="spellEnd"/>
      <w:r>
        <w:t xml:space="preserve">® to be considered for publication in IEEE TMI.  </w:t>
      </w:r>
      <w:r w:rsidR="004D6BF0">
        <w:t xml:space="preserve">Please </w:t>
      </w:r>
      <w:r w:rsidR="003D75C1">
        <w:t>prepare</w:t>
      </w:r>
      <w:r w:rsidR="004D6BF0">
        <w:t xml:space="preserve"> </w:t>
      </w:r>
      <w:r>
        <w:t>the</w:t>
      </w:r>
      <w:r w:rsidR="004D6BF0">
        <w:t xml:space="preserve"> manuscript </w:t>
      </w:r>
      <w:r w:rsidR="003D75C1">
        <w:t xml:space="preserve">for initial review </w:t>
      </w:r>
      <w:r w:rsidR="004D6BF0">
        <w:t>in the two-column format as detailed in this document, including figures distributed through</w:t>
      </w:r>
      <w:r w:rsidR="003D75C1">
        <w:t>out</w:t>
      </w:r>
      <w:r w:rsidR="004D6BF0">
        <w:t xml:space="preserve"> the text near the site of first reference.  If you use LATEX to prepare your manuscript, please approximate the format seen visually in this template document.   </w:t>
      </w:r>
    </w:p>
    <w:p w:rsidR="009C7D17" w:rsidRDefault="00AE7F4F" w:rsidP="009C7D17">
      <w:pPr>
        <w:pStyle w:val="Text"/>
      </w:pPr>
      <w:r>
        <w:t xml:space="preserve">First submissions must be 10 pages or less unless the editor has granted </w:t>
      </w:r>
      <w:r w:rsidR="00937057">
        <w:t xml:space="preserve">a rare </w:t>
      </w:r>
      <w:r>
        <w:t>exception</w:t>
      </w:r>
      <w:r w:rsidR="002A0064">
        <w:t xml:space="preserve"> (e.g. challenge papers)</w:t>
      </w:r>
      <w:r>
        <w:t xml:space="preserve">.  Revised manuscripts may exceed 10 pages as required to respond to reviewer comments.  Large tables and figures not critical to the main message should be </w:t>
      </w:r>
      <w:r w:rsidR="002A0064">
        <w:t>uploaded</w:t>
      </w:r>
      <w:r>
        <w:t xml:space="preserve"> separately as Supplementary Materials</w:t>
      </w:r>
      <w:r w:rsidR="002A0064">
        <w:t xml:space="preserve"> in Supporting D</w:t>
      </w:r>
      <w:bookmarkStart w:id="1" w:name="_GoBack"/>
      <w:bookmarkEnd w:id="1"/>
      <w:r w:rsidR="002A0064">
        <w:t>ocuments</w:t>
      </w:r>
      <w:r>
        <w:t xml:space="preserve">.  </w:t>
      </w:r>
    </w:p>
    <w:p w:rsidR="003D75C1" w:rsidRDefault="003D75C1" w:rsidP="009C7D17">
      <w:pPr>
        <w:pStyle w:val="Text"/>
      </w:pPr>
      <w:r>
        <w:lastRenderedPageBreak/>
        <w:t xml:space="preserve">Submit a </w:t>
      </w:r>
      <w:proofErr w:type="spellStart"/>
      <w:r>
        <w:t>pdf</w:t>
      </w:r>
      <w:proofErr w:type="spellEnd"/>
      <w:r>
        <w:t xml:space="preserve"> version of your manuscript to </w:t>
      </w:r>
      <w:proofErr w:type="spellStart"/>
      <w:r w:rsidRPr="0088508F">
        <w:t>ScholarOne</w:t>
      </w:r>
      <w:proofErr w:type="spellEnd"/>
      <w:r w:rsidRPr="001C50D7">
        <w:rPr>
          <w:color w:val="000000"/>
          <w:vertAlign w:val="superscript"/>
        </w:rPr>
        <w:t>®</w:t>
      </w:r>
      <w:r w:rsidRPr="00C176FD">
        <w:t xml:space="preserve"> </w:t>
      </w:r>
      <w:r>
        <w:t xml:space="preserve">using </w:t>
      </w:r>
      <w:hyperlink r:id="rId10" w:history="1">
        <w:r w:rsidRPr="001B2A46">
          <w:rPr>
            <w:rStyle w:val="Hyperlink"/>
          </w:rPr>
          <w:t>https://mc.manuscriptcentral.com/tmi-ieee</w:t>
        </w:r>
      </w:hyperlink>
      <w:r>
        <w:t xml:space="preserve"> as a single file.  If you wish to include a larger version of some or all of the figures or a video for reviewers, please </w:t>
      </w:r>
      <w:r w:rsidR="008F486F">
        <w:t xml:space="preserve">upload </w:t>
      </w:r>
      <w:r>
        <w:t xml:space="preserve">these as a Supplementary file.  </w:t>
      </w:r>
      <w:r w:rsidR="008F486F">
        <w:t xml:space="preserve">Do not upload zipped or </w:t>
      </w:r>
      <w:r w:rsidR="00304880">
        <w:t xml:space="preserve">other </w:t>
      </w:r>
      <w:r w:rsidR="008F486F">
        <w:t>compressed files.</w:t>
      </w:r>
    </w:p>
    <w:p w:rsidR="00C621D6" w:rsidRPr="003D75C1" w:rsidRDefault="009C7D17" w:rsidP="003D75C1">
      <w:pPr>
        <w:pStyle w:val="Text"/>
      </w:pPr>
      <w:r>
        <w:tab/>
      </w:r>
      <w:r w:rsidR="003D75C1">
        <w:t>Even if this is your first submission, f</w:t>
      </w:r>
      <w:r w:rsidR="00C621D6" w:rsidRPr="001C50D7">
        <w:rPr>
          <w:color w:val="000000"/>
        </w:rPr>
        <w:t xml:space="preserve">irst check </w:t>
      </w:r>
      <w:r w:rsidR="003D75C1">
        <w:rPr>
          <w:color w:val="000000"/>
        </w:rPr>
        <w:t xml:space="preserve">to see </w:t>
      </w:r>
      <w:r w:rsidR="00C621D6" w:rsidRPr="001C50D7">
        <w:rPr>
          <w:color w:val="000000"/>
        </w:rPr>
        <w:t>if you have an existing account</w:t>
      </w:r>
      <w:r w:rsidR="003D75C1">
        <w:rPr>
          <w:color w:val="000000"/>
        </w:rPr>
        <w:t xml:space="preserve"> </w:t>
      </w:r>
      <w:r w:rsidR="003D75C1">
        <w:t xml:space="preserve">on </w:t>
      </w:r>
      <w:proofErr w:type="spellStart"/>
      <w:r w:rsidR="003D75C1" w:rsidRPr="0088508F">
        <w:t>ScholarOne</w:t>
      </w:r>
      <w:proofErr w:type="spellEnd"/>
      <w:r w:rsidR="003D75C1" w:rsidRPr="001C50D7">
        <w:rPr>
          <w:color w:val="000000"/>
          <w:vertAlign w:val="superscript"/>
        </w:rPr>
        <w:t>®</w:t>
      </w:r>
      <w:r w:rsidR="00C621D6" w:rsidRPr="001C50D7">
        <w:rPr>
          <w:color w:val="000000"/>
        </w:rPr>
        <w:t xml:space="preserve">. </w:t>
      </w:r>
      <w:r w:rsidR="003D75C1">
        <w:rPr>
          <w:color w:val="000000"/>
        </w:rPr>
        <w:t xml:space="preserve"> </w:t>
      </w:r>
      <w:r w:rsidR="00C621D6" w:rsidRPr="001C50D7">
        <w:rPr>
          <w:color w:val="000000"/>
        </w:rPr>
        <w:t>If there is none, create a new account</w:t>
      </w:r>
      <w:r w:rsidR="003D75C1">
        <w:rPr>
          <w:color w:val="000000"/>
        </w:rPr>
        <w:t xml:space="preserve"> as instructed</w:t>
      </w:r>
      <w:r w:rsidR="00C621D6" w:rsidRPr="001C50D7">
        <w:rPr>
          <w:color w:val="000000"/>
        </w:rPr>
        <w:t xml:space="preserve">. After logging in, go to your Author Center and click “Submit First Draft of a New Manuscript.” </w:t>
      </w:r>
      <w:r w:rsidR="00AE7F4F">
        <w:rPr>
          <w:color w:val="000000"/>
        </w:rPr>
        <w:t xml:space="preserve"> The corresponding author will be asked to submit information for the first 10 authors.  Please check to see if they have existing accounts before adding a new account.  If there are more than 10 authors and all are listed on the manuscript, </w:t>
      </w:r>
      <w:proofErr w:type="gramStart"/>
      <w:r w:rsidR="00AE7F4F">
        <w:rPr>
          <w:color w:val="000000"/>
        </w:rPr>
        <w:t>then</w:t>
      </w:r>
      <w:proofErr w:type="gramEnd"/>
      <w:r w:rsidR="00AE7F4F">
        <w:rPr>
          <w:color w:val="000000"/>
        </w:rPr>
        <w:t xml:space="preserve"> just add the first ten during submission.</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w:t>
      </w:r>
      <w:r w:rsidR="003D75C1">
        <w:rPr>
          <w:color w:val="000000"/>
        </w:rPr>
        <w:t>Y</w:t>
      </w:r>
      <w:r w:rsidRPr="001C50D7">
        <w:rPr>
          <w:color w:val="000000"/>
        </w:rPr>
        <w:t xml:space="preserve">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w:t>
      </w:r>
      <w:r w:rsidR="003D75C1">
        <w:rPr>
          <w:color w:val="000000"/>
        </w:rPr>
        <w:t xml:space="preserve">TMI </w:t>
      </w:r>
      <w:r w:rsidRPr="001C50D7">
        <w:rPr>
          <w:color w:val="000000"/>
        </w:rPr>
        <w:t xml:space="preserve">paper on </w:t>
      </w:r>
      <w:proofErr w:type="spellStart"/>
      <w:r w:rsidRPr="001C50D7">
        <w:rPr>
          <w:color w:val="000000"/>
        </w:rPr>
        <w:t>ScholarOne</w:t>
      </w:r>
      <w:proofErr w:type="spellEnd"/>
      <w:r w:rsidRPr="001C50D7">
        <w:rPr>
          <w:color w:val="000000"/>
        </w:rPr>
        <w:t xml:space="preserve"> </w:t>
      </w:r>
      <w:r w:rsidR="003D75C1">
        <w:rPr>
          <w:color w:val="000000"/>
        </w:rPr>
        <w:t xml:space="preserve">please contact the editorial office at the email account listed.  </w:t>
      </w:r>
    </w:p>
    <w:p w:rsidR="00AE7F4F"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w:t>
      </w:r>
      <w:proofErr w:type="spellStart"/>
      <w:r w:rsidR="00AE7F4F" w:rsidRPr="0088508F">
        <w:t>ScholarOne</w:t>
      </w:r>
      <w:proofErr w:type="spellEnd"/>
      <w:r w:rsidR="00AE7F4F" w:rsidRPr="001C50D7">
        <w:rPr>
          <w:color w:val="000000"/>
          <w:vertAlign w:val="superscript"/>
        </w:rPr>
        <w:t>®</w:t>
      </w:r>
      <w:r w:rsidR="00AE7F4F" w:rsidRPr="00C176FD">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t>
      </w:r>
      <w:r w:rsidR="00866042">
        <w:t xml:space="preserve">from the editor </w:t>
      </w:r>
      <w:r w:rsidRPr="001C50D7">
        <w:t>with specific instructions regarding the submission of final files.  To avoid any delays in publication, be sure to follow these instructions</w:t>
      </w:r>
      <w:r w:rsidR="00866042">
        <w:t xml:space="preserve"> carefully</w:t>
      </w:r>
      <w:r w:rsidRPr="001C50D7">
        <w:t xml:space="preserve">.  </w:t>
      </w:r>
      <w:r w:rsidR="00866042" w:rsidRPr="00866042">
        <w:t xml:space="preserve">Final files must </w:t>
      </w:r>
      <w:r w:rsidRPr="00866042">
        <w:t xml:space="preserve">be uploaded through </w:t>
      </w:r>
      <w:proofErr w:type="spellStart"/>
      <w:r w:rsidRPr="00866042">
        <w:t>ScholarOne</w:t>
      </w:r>
      <w:proofErr w:type="spellEnd"/>
      <w:r w:rsidR="00866042">
        <w:t xml:space="preserve"> as instructed</w:t>
      </w:r>
      <w:r w:rsidRPr="00866042">
        <w:t>.</w:t>
      </w:r>
      <w:r w:rsidR="00866042">
        <w:t xml:space="preserve"> </w:t>
      </w:r>
      <w:r w:rsidRPr="001C50D7">
        <w:t xml:space="preserve">Final submissions should include source files of your accepted manuscript, high quality graphic files, and a formatted </w:t>
      </w:r>
      <w:proofErr w:type="spellStart"/>
      <w:r w:rsidRPr="001C50D7">
        <w:t>pdf</w:t>
      </w:r>
      <w:proofErr w:type="spellEnd"/>
      <w:r w:rsidRPr="001C50D7">
        <w:t xml:space="preserve"> file.  If you have any questions regarding the final submission process, please contact the </w:t>
      </w:r>
      <w:r w:rsidR="00866042">
        <w:t>TMI editorial office</w:t>
      </w:r>
      <w:r w:rsidRPr="001C50D7">
        <w:t xml:space="preserve">. </w:t>
      </w:r>
    </w:p>
    <w:p w:rsidR="00866042" w:rsidRDefault="00C621D6" w:rsidP="00866042">
      <w:pPr>
        <w:tabs>
          <w:tab w:val="left" w:pos="360"/>
        </w:tabs>
        <w:autoSpaceDE w:val="0"/>
        <w:autoSpaceDN w:val="0"/>
        <w:adjustRightInd w:val="0"/>
        <w:ind w:firstLine="360"/>
        <w:jc w:val="both"/>
        <w:rPr>
          <w:color w:val="000000"/>
        </w:rPr>
      </w:pPr>
      <w:r w:rsidRPr="00866042">
        <w:t xml:space="preserve"> </w:t>
      </w:r>
      <w:r w:rsidR="00866042" w:rsidRPr="00866042">
        <w:t xml:space="preserve">Be sure </w:t>
      </w:r>
      <w:r w:rsidR="00866042">
        <w:t xml:space="preserve">that the individual designated as the “Corresponding Author” is available during the coming months.  </w:t>
      </w:r>
      <w:r w:rsidRPr="001C50D7">
        <w:rPr>
          <w:color w:val="000000"/>
        </w:rPr>
        <w:t xml:space="preserve">This is the only author to whom proofs of the paper will be sent. </w:t>
      </w:r>
    </w:p>
    <w:p w:rsidR="009C7D17" w:rsidRPr="00866042" w:rsidRDefault="009C7D17" w:rsidP="00866042">
      <w:pPr>
        <w:tabs>
          <w:tab w:val="left" w:pos="360"/>
        </w:tabs>
        <w:autoSpaceDE w:val="0"/>
        <w:autoSpaceDN w:val="0"/>
        <w:adjustRightInd w:val="0"/>
        <w:ind w:firstLine="360"/>
        <w:jc w:val="both"/>
        <w:rPr>
          <w:color w:val="000000"/>
        </w:rPr>
      </w:pPr>
    </w:p>
    <w:p w:rsidR="00E97B99" w:rsidRPr="00E97B99" w:rsidRDefault="00E97B99" w:rsidP="001F4C5C">
      <w:pPr>
        <w:pStyle w:val="Heading2"/>
      </w:pPr>
      <w:r w:rsidRPr="00E97B99">
        <w:t>Copyright Form</w:t>
      </w:r>
    </w:p>
    <w:p w:rsidR="00E97B99" w:rsidRDefault="00E97B99" w:rsidP="00E97B99">
      <w:pPr>
        <w:pStyle w:val="Text"/>
      </w:pPr>
      <w:r>
        <w:t>A</w:t>
      </w:r>
      <w:r w:rsidR="000E4B6A">
        <w:t xml:space="preserve"> completed</w:t>
      </w:r>
      <w:r>
        <w:t xml:space="preserve"> IEEE copyright form should </w:t>
      </w:r>
      <w:r w:rsidR="000E4B6A">
        <w:t>be submitted no later than at the time of</w:t>
      </w:r>
      <w:r>
        <w:t xml:space="preserve"> your final submission. You can get a .</w:t>
      </w:r>
      <w:proofErr w:type="spellStart"/>
      <w:r>
        <w:t>pdf</w:t>
      </w:r>
      <w:proofErr w:type="spellEnd"/>
      <w:r>
        <w:t xml:space="preserve">, .html, or .doc version at </w:t>
      </w:r>
      <w:hyperlink r:id="rId11" w:history="1">
        <w:r>
          <w:rPr>
            <w:rStyle w:val="Hyperlink"/>
          </w:rPr>
          <w:t>http://www.ieee.org/copyright</w:t>
        </w:r>
      </w:hyperlink>
      <w:r>
        <w:rPr>
          <w:i/>
          <w:iCs/>
        </w:rPr>
        <w:t>.</w:t>
      </w:r>
      <w:r>
        <w:t xml:space="preserve"> Authors are responsible for obtaining any security clearances.</w:t>
      </w:r>
      <w:r w:rsidR="000E4B6A">
        <w:t xml:space="preserve"> Do NOT attach the copyright form to your manuscript at any time during the process.</w:t>
      </w:r>
    </w:p>
    <w:p w:rsidR="005D72BB" w:rsidRDefault="005D72BB" w:rsidP="005D72BB">
      <w:pPr>
        <w:pStyle w:val="Heading1"/>
      </w:pPr>
      <w:r>
        <w:t>Editorial Policy</w:t>
      </w:r>
    </w:p>
    <w:p w:rsidR="000E4B6A" w:rsidRDefault="005D72BB" w:rsidP="005D72BB">
      <w:pPr>
        <w:pStyle w:val="Text"/>
      </w:pPr>
      <w:r>
        <w:t xml:space="preserve">Do not submit a reworked version of a paper you have </w:t>
      </w:r>
      <w:r>
        <w:lastRenderedPageBreak/>
        <w:t xml:space="preserve">submitted or published elsewhere. Do not publish “preliminary” data or results. The submitting author is responsible for obtaining agreement of all coauthors and any consent required from sponsors before submitting a paper. </w:t>
      </w:r>
    </w:p>
    <w:p w:rsidR="005D72BB" w:rsidRDefault="005D72BB" w:rsidP="005D72BB">
      <w:pPr>
        <w:pStyle w:val="Text"/>
      </w:pPr>
      <w:r>
        <w:t xml:space="preserve">The IEEE Transactions and Journals Department strongly discourages courtesy authorship. </w:t>
      </w:r>
      <w:r w:rsidR="00BF4F80">
        <w:t>An author</w:t>
      </w:r>
      <w:r w:rsidR="00BF4F80" w:rsidRPr="00BF4F80">
        <w:t xml:space="preserve"> </w:t>
      </w:r>
      <w:r w:rsidR="00BF4F80">
        <w:t>is an</w:t>
      </w:r>
      <w:r w:rsidR="00BF4F80" w:rsidRPr="00BF4F80">
        <w:t xml:space="preserve"> individual who ha</w:t>
      </w:r>
      <w:r w:rsidR="00BF4F80">
        <w:t>s</w:t>
      </w:r>
      <w:r w:rsidR="00BF4F80" w:rsidRPr="00BF4F80">
        <w:t xml:space="preserve"> made an identifiable intellectual contribution to a manuscript to the extent that the individual can defend its contents.  </w:t>
      </w:r>
      <w:r w:rsidR="00BF4F80">
        <w:t xml:space="preserve">Consequently, organization cannot be an author.  </w:t>
      </w:r>
      <w:r>
        <w:t xml:space="preserve">It is the obligation of </w:t>
      </w:r>
      <w:r w:rsidR="00BF4F80">
        <w:t>all</w:t>
      </w:r>
      <w:r>
        <w:t xml:space="preserve"> authors to </w:t>
      </w:r>
      <w:r w:rsidR="00BF4F80">
        <w:t>ensure that</w:t>
      </w:r>
      <w:r>
        <w:t xml:space="preserve"> relevant prior work</w:t>
      </w:r>
      <w:r w:rsidR="00BF4F80">
        <w:t xml:space="preserve"> has been cited</w:t>
      </w:r>
      <w:r>
        <w:t>.</w:t>
      </w:r>
      <w:r w:rsidR="00BF4F80">
        <w:t xml:space="preserve"> </w:t>
      </w:r>
    </w:p>
    <w:p w:rsidR="00BF4F80" w:rsidRDefault="00BF4F80" w:rsidP="005D72BB">
      <w:pPr>
        <w:pStyle w:val="Text"/>
      </w:pPr>
      <w:r>
        <w:t xml:space="preserve">If the submission is based on a previously or simultaneously published conference paper, authors are asked to cite the conference paper in the submission, attached the conference paper to Supplemental Materials for reviewer access, and clearly state in a cover letter how the submission extends the work presented in the conference paper.  This is important and required since TMI only </w:t>
      </w:r>
      <w:r w:rsidR="008F486F">
        <w:t xml:space="preserve">publishes </w:t>
      </w:r>
      <w:r>
        <w:t xml:space="preserve">new materials.   </w:t>
      </w:r>
    </w:p>
    <w:p w:rsidR="005D72BB" w:rsidRDefault="005D72BB" w:rsidP="005D72BB">
      <w:pPr>
        <w:pStyle w:val="Text"/>
      </w:pPr>
      <w:r>
        <w:t xml:space="preserve">Indecipherable English is a valid reason for </w:t>
      </w:r>
      <w:r w:rsidR="00BF4F80">
        <w:t xml:space="preserve">immediate </w:t>
      </w:r>
      <w:r>
        <w:t xml:space="preserve">rejection. </w:t>
      </w:r>
      <w:r w:rsidR="00BF4F80">
        <w:t xml:space="preserve">If in the opinions of the reviewers the ideas are not clearly presented, the paper will be rejected as a result of the review.  TMI allows only one major review.  </w:t>
      </w:r>
      <w:r>
        <w:t xml:space="preserve">There is a service available that </w:t>
      </w:r>
      <w:r w:rsidR="00BF4F80">
        <w:t>can</w:t>
      </w:r>
      <w:r>
        <w:t xml:space="preserve"> help improve your English </w:t>
      </w:r>
      <w:r w:rsidR="00BF4F80">
        <w:t xml:space="preserve">writing </w:t>
      </w:r>
      <w:r>
        <w:t xml:space="preserve">for a fee, and the link to that service can be found at </w:t>
      </w:r>
      <w:hyperlink r:id="rId12" w:history="1">
        <w:r w:rsidRPr="00625E96">
          <w:rPr>
            <w:rStyle w:val="Hyperlink"/>
            <w:sz w:val="18"/>
          </w:rPr>
          <w:t>http://www.ieee.org/web/publications/authors/transjnl/index.html</w:t>
        </w:r>
      </w:hyperlink>
      <w:r>
        <w:rPr>
          <w:rStyle w:val="Hyperlink"/>
          <w:sz w:val="18"/>
        </w:rPr>
        <w:t xml:space="preserve">. </w:t>
      </w:r>
    </w:p>
    <w:p w:rsidR="005D72BB" w:rsidRDefault="005D72BB" w:rsidP="005D72BB">
      <w:pPr>
        <w:pStyle w:val="Text"/>
      </w:pPr>
    </w:p>
    <w:p w:rsidR="005D72BB" w:rsidRDefault="005D72BB" w:rsidP="005D72BB">
      <w:pPr>
        <w:pStyle w:val="Heading1"/>
      </w:pPr>
      <w:r>
        <w:t>Publication Principles</w:t>
      </w:r>
    </w:p>
    <w:p w:rsidR="005D72BB" w:rsidRDefault="00BF4F80" w:rsidP="005D72BB">
      <w:pPr>
        <w:pStyle w:val="Text"/>
      </w:pPr>
      <w:r>
        <w:t xml:space="preserve">IEEE TMI </w:t>
      </w:r>
      <w:r w:rsidR="005D72BB">
        <w:t>publishes scholarly articles of archival value as well as tutorial expositions and critical reviews of classical subjects and topics of current interest</w:t>
      </w:r>
      <w:r>
        <w:t xml:space="preserve"> that h</w:t>
      </w:r>
      <w:r w:rsidR="00167B86">
        <w:t>ave been approved by the editor-in-</w:t>
      </w:r>
      <w:r>
        <w:t>chief prior to first submission</w:t>
      </w:r>
      <w:r w:rsidR="005D72BB">
        <w:t xml:space="preserve">.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 xml:space="preserve">Papers that describe ongoing work or announce the latest </w:t>
      </w:r>
      <w:r>
        <w:lastRenderedPageBreak/>
        <w:t>technical achievement, which are suitable for presentation at a professional conference, may not be a</w:t>
      </w:r>
      <w:r w:rsidR="00B65BD3">
        <w:t>ppropriate for publication.</w:t>
      </w:r>
    </w:p>
    <w:p w:rsidR="005D72BB" w:rsidRDefault="005D72BB" w:rsidP="005D72BB">
      <w:pPr>
        <w:pStyle w:val="Text"/>
        <w:ind w:firstLine="0"/>
      </w:pPr>
    </w:p>
    <w:p w:rsidR="00131245" w:rsidRDefault="00131245">
      <w:pPr>
        <w:pStyle w:val="ReferenceHead"/>
      </w:pPr>
    </w:p>
    <w:p w:rsidR="00131245" w:rsidRDefault="00131245">
      <w:pPr>
        <w:pStyle w:val="ReferenceHead"/>
      </w:pPr>
    </w:p>
    <w:p w:rsidR="00E97402" w:rsidRDefault="00E97402">
      <w:pPr>
        <w:pStyle w:val="ReferenceHead"/>
      </w:pPr>
      <w:r>
        <w:t>References</w:t>
      </w:r>
    </w:p>
    <w:p w:rsidR="00C11E83" w:rsidRPr="00025C4C" w:rsidRDefault="00131245" w:rsidP="008E0645">
      <w:pPr>
        <w:pStyle w:val="References"/>
        <w:rPr>
          <w:spacing w:val="5"/>
          <w:sz w:val="18"/>
        </w:rPr>
      </w:pPr>
      <w:r w:rsidRPr="00025C4C">
        <w:rPr>
          <w:spacing w:val="5"/>
          <w:sz w:val="18"/>
        </w:rPr>
        <w:t>https://developer.android.com/guide/</w:t>
      </w:r>
    </w:p>
    <w:p w:rsidR="00C11E83" w:rsidRPr="00025C4C" w:rsidRDefault="00131245" w:rsidP="007F7AA6">
      <w:pPr>
        <w:pStyle w:val="References"/>
        <w:rPr>
          <w:spacing w:val="5"/>
          <w:sz w:val="18"/>
        </w:rPr>
      </w:pPr>
      <w:r w:rsidRPr="00025C4C">
        <w:rPr>
          <w:spacing w:val="5"/>
          <w:sz w:val="18"/>
        </w:rPr>
        <w:t>https://community.arm.com/android-community/b/android/posts/arm-neon-programming-quick-reference</w:t>
      </w:r>
    </w:p>
    <w:p w:rsidR="00C11E83" w:rsidRDefault="00C11E83" w:rsidP="007F7AA6">
      <w:pPr>
        <w:pStyle w:val="References"/>
        <w:rPr>
          <w:spacing w:val="-1"/>
        </w:rPr>
      </w:pPr>
      <w:r w:rsidRPr="00131245">
        <w:rPr>
          <w:spacing w:val="5"/>
        </w:rPr>
        <w:t>W</w:t>
      </w:r>
      <w:r>
        <w:rPr>
          <w:spacing w:val="5"/>
        </w:rPr>
        <w:t>.</w:t>
      </w:r>
      <w:r w:rsidRPr="00131245">
        <w:rPr>
          <w:spacing w:val="5"/>
        </w:rPr>
        <w:t>-</w:t>
      </w:r>
      <w:r>
        <w:rPr>
          <w:spacing w:val="5"/>
        </w:rPr>
        <w:t>K</w:t>
      </w:r>
      <w:r w:rsidRPr="00131245">
        <w:rPr>
          <w:spacing w:val="5"/>
        </w:rPr>
        <w:t>. Ch</w:t>
      </w:r>
      <w:r>
        <w:rPr>
          <w:spacing w:val="5"/>
        </w:rPr>
        <w:t>e</w:t>
      </w:r>
      <w:r w:rsidRPr="00131245">
        <w:rPr>
          <w:spacing w:val="5"/>
        </w:rPr>
        <w:t xml:space="preserve">n, Linear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proofErr w:type="gramStart"/>
      <w:r w:rsidRPr="00B65BD3">
        <w:rPr>
          <w:i/>
        </w:rPr>
        <w:t>Propagat</w:t>
      </w:r>
      <w:proofErr w:type="spellEnd"/>
      <w:r w:rsidRPr="007F7AA6">
        <w:t>.,</w:t>
      </w:r>
      <w:proofErr w:type="gramEnd"/>
      <w:r w:rsidRPr="007F7AA6">
        <w:t xml:space="preserve">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Default="00C11E83" w:rsidP="008E0645">
      <w:pPr>
        <w:pStyle w:val="References"/>
      </w:pPr>
      <w:r>
        <w:t xml:space="preserve">J. K. Author, “Title of report,” Abbrev. Name of Co., City of Co., Abbrev. State, Rep. </w:t>
      </w:r>
      <w:proofErr w:type="gramStart"/>
      <w:r>
        <w:rPr>
          <w:rFonts w:ascii="TimesNewRomanPS-ItalicMT" w:hAnsi="TimesNewRomanPS-ItalicMT" w:cs="TimesNewRomanPS-ItalicMT"/>
          <w:i/>
          <w:iCs/>
        </w:rPr>
        <w:t>xxx</w:t>
      </w:r>
      <w:proofErr w:type="gramEnd"/>
      <w: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rsidR="001A60B1" w:rsidRDefault="001A60B1" w:rsidP="001A60B1">
      <w:pPr>
        <w:widowControl w:val="0"/>
        <w:autoSpaceDE w:val="0"/>
        <w:autoSpaceDN w:val="0"/>
        <w:adjustRightInd w:val="0"/>
        <w:spacing w:before="37"/>
        <w:ind w:right="-20"/>
        <w:rPr>
          <w:color w:val="000000"/>
        </w:rPr>
      </w:pPr>
      <w:r>
        <w:rPr>
          <w:i/>
          <w:iCs/>
          <w:color w:val="000000"/>
        </w:rPr>
        <w:t>Example:</w:t>
      </w:r>
    </w:p>
    <w:p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13" w:history="1">
        <w:r>
          <w:t>htt</w:t>
        </w:r>
        <w:r>
          <w:rPr>
            <w:spacing w:val="-1"/>
          </w:rPr>
          <w:t>p</w:t>
        </w:r>
        <w:r>
          <w:t>://www.at</w:t>
        </w:r>
        <w:r>
          <w:rPr>
            <w:spacing w:val="-2"/>
          </w:rPr>
          <w:t>m</w:t>
        </w:r>
        <w:r>
          <w:t>.com</w:t>
        </w:r>
      </w:hyperlink>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p>
    <w:p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14"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rsidR="001A60B1" w:rsidRDefault="001A60B1" w:rsidP="001A60B1">
      <w:pPr>
        <w:widowControl w:val="0"/>
        <w:autoSpaceDE w:val="0"/>
        <w:autoSpaceDN w:val="0"/>
        <w:adjustRightInd w:val="0"/>
        <w:spacing w:before="9" w:line="280" w:lineRule="exact"/>
        <w:rPr>
          <w:color w:val="000000"/>
          <w:sz w:val="28"/>
          <w:szCs w:val="28"/>
        </w:rPr>
      </w:pPr>
    </w:p>
    <w:p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 xml:space="preserve">s (when </w:t>
      </w:r>
      <w:r>
        <w:rPr>
          <w:i/>
          <w:iCs/>
          <w:color w:val="000000"/>
          <w:spacing w:val="-1"/>
        </w:rPr>
        <w:lastRenderedPageBreak/>
        <w:t>available online)</w:t>
      </w:r>
      <w:r>
        <w:rPr>
          <w:i/>
          <w:iCs/>
          <w:color w:val="000000"/>
        </w:rPr>
        <w:t>:</w:t>
      </w:r>
      <w:r>
        <w:rPr>
          <w:i/>
          <w:iCs/>
          <w:color w:val="000000"/>
          <w:spacing w:val="1"/>
        </w:rPr>
        <w:t xml:space="preserve"> </w:t>
      </w:r>
    </w:p>
    <w:p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5"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proofErr w:type="spellStart"/>
      <w:r w:rsidR="001A60B1" w:rsidRPr="00263943">
        <w:rPr>
          <w:spacing w:val="26"/>
        </w:rPr>
        <w:t>Ar</w:t>
      </w:r>
      <w:r w:rsidR="001A60B1" w:rsidRPr="00263943">
        <w:rPr>
          <w:spacing w:val="24"/>
        </w:rPr>
        <w:t>ch</w:t>
      </w:r>
      <w:r w:rsidR="001A60B1" w:rsidRPr="00263943">
        <w:t>i</w:t>
      </w:r>
      <w:proofErr w:type="spellEnd"/>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proofErr w:type="spellStart"/>
      <w:r w:rsidR="001A60B1" w:rsidRPr="00263943">
        <w:rPr>
          <w:spacing w:val="24"/>
        </w:rPr>
        <w:t>n</w:t>
      </w:r>
      <w:r w:rsidR="001A60B1" w:rsidRPr="00263943">
        <w:t>g</w:t>
      </w:r>
      <w:proofErr w:type="spellEnd"/>
      <w:r w:rsidR="001A60B1" w:rsidRPr="00263943">
        <w:t xml:space="preserve">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6"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rsidR="008E0645" w:rsidRDefault="008E0645" w:rsidP="001A60B1">
      <w:pPr>
        <w:widowControl w:val="0"/>
        <w:autoSpaceDE w:val="0"/>
        <w:autoSpaceDN w:val="0"/>
        <w:adjustRightInd w:val="0"/>
        <w:spacing w:before="5" w:line="140" w:lineRule="exact"/>
        <w:rPr>
          <w:color w:val="000000"/>
          <w:sz w:val="14"/>
          <w:szCs w:val="14"/>
        </w:rPr>
      </w:pPr>
    </w:p>
    <w:p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7"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rsidR="009F40FB" w:rsidRDefault="009F40FB" w:rsidP="009F40FB">
      <w:pPr>
        <w:pStyle w:val="References"/>
        <w:numPr>
          <w:ilvl w:val="0"/>
          <w:numId w:val="0"/>
        </w:numPr>
        <w:ind w:left="360"/>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proofErr w:type="spellStart"/>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proofErr w:type="spellEnd"/>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Default="00C378A1" w:rsidP="003F26BD">
      <w:pPr>
        <w:pStyle w:val="References"/>
      </w:pPr>
      <w:r>
        <w:t>J. K. Author, “Title of thesis,” M.S. thesis, Abbrev. Dept., Abbrev. Univ., City of Univ., Abbrev. State, year.</w:t>
      </w:r>
    </w:p>
    <w:p w:rsidR="00C378A1" w:rsidRDefault="00C378A1" w:rsidP="00837E47">
      <w:pPr>
        <w:pStyle w:val="References"/>
      </w:pPr>
      <w:r>
        <w:t>J. K. Author, “Title of dissertation,” Ph.D. dissertation, Abbrev. Dept., Abbrev. Univ., City of Univ., Abbrev. State,</w:t>
      </w:r>
      <w:r w:rsidR="00837E47">
        <w:t xml:space="preserve"> </w:t>
      </w:r>
      <w: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263943">
        <w:t xml:space="preserve"> </w:t>
      </w:r>
      <w:r>
        <w:t>1993.</w:t>
      </w:r>
    </w:p>
    <w:p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Default="00C378A1" w:rsidP="00837E47">
      <w:pPr>
        <w:pStyle w:val="References"/>
      </w:pPr>
      <w:r>
        <w:lastRenderedPageBreak/>
        <w:t>J. K. Author, private communication, Abbrev. Month, year.</w:t>
      </w:r>
    </w:p>
    <w:p w:rsidR="00C378A1" w:rsidRDefault="00C378A1" w:rsidP="00837E47">
      <w:pPr>
        <w:pStyle w:val="References"/>
      </w:pPr>
      <w:r>
        <w:t>J. K. Author, “Title of paper,” unpublished.</w:t>
      </w:r>
    </w:p>
    <w:p w:rsidR="00B65BD3" w:rsidRDefault="00B65BD3" w:rsidP="00837E47">
      <w:pPr>
        <w:pStyle w:val="References"/>
      </w:pPr>
      <w: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rsidR="00C378A1" w:rsidRDefault="00C378A1" w:rsidP="00837E47">
      <w:pPr>
        <w:pStyle w:val="References"/>
      </w:pPr>
      <w:r>
        <w:rPr>
          <w:rFonts w:ascii="TimesNewRomanPS-ItalicMT" w:hAnsi="TimesNewRomanPS-ItalicMT" w:cs="TimesNewRomanPS-ItalicMT"/>
          <w:i/>
          <w:iCs/>
        </w:rPr>
        <w:t>Title of Standard</w:t>
      </w:r>
      <w:r>
        <w:t>, Standard number,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E97402" w:rsidRDefault="00E97402">
      <w:pPr>
        <w:pStyle w:val="FigureCaption"/>
        <w:rPr>
          <w:b/>
          <w:bCs/>
        </w:rPr>
      </w:pPr>
    </w:p>
    <w:p w:rsidR="008E0645" w:rsidRPr="00167B86" w:rsidRDefault="00C75942">
      <w:pPr>
        <w:pStyle w:val="FigureCaption"/>
        <w:rPr>
          <w:rStyle w:val="BodyText2"/>
          <w:rFonts w:ascii="Times" w:hAnsi="Times"/>
          <w:b/>
          <w:color w:val="000000" w:themeColor="text1"/>
        </w:rPr>
      </w:pPr>
      <w:r w:rsidRPr="00167B86">
        <w:rPr>
          <w:rStyle w:val="BodyText2"/>
          <w:rFonts w:ascii="Times" w:hAnsi="Times"/>
          <w:b/>
          <w:color w:val="000000" w:themeColor="text1"/>
        </w:rPr>
        <w:t xml:space="preserve">Note that author photographs </w:t>
      </w:r>
      <w:r w:rsidR="008F486F">
        <w:rPr>
          <w:rStyle w:val="BodyText2"/>
          <w:rFonts w:ascii="Times" w:hAnsi="Times"/>
          <w:b/>
          <w:color w:val="000000" w:themeColor="text1"/>
        </w:rPr>
        <w:t>and</w:t>
      </w:r>
      <w:r w:rsidR="008F486F" w:rsidRPr="00167B86">
        <w:rPr>
          <w:rStyle w:val="BodyText2"/>
          <w:rFonts w:ascii="Times" w:hAnsi="Times"/>
          <w:b/>
          <w:color w:val="000000" w:themeColor="text1"/>
        </w:rPr>
        <w:t xml:space="preserve"> </w:t>
      </w:r>
      <w:r w:rsidRPr="00167B86">
        <w:rPr>
          <w:rStyle w:val="BodyText2"/>
          <w:rFonts w:ascii="Times" w:hAnsi="Times"/>
          <w:b/>
          <w:color w:val="000000" w:themeColor="text1"/>
        </w:rPr>
        <w:t xml:space="preserve">biographies are not accepted in IEEE TMI papers.  This policy </w:t>
      </w:r>
      <w:r w:rsidR="00167B86">
        <w:rPr>
          <w:rStyle w:val="BodyText2"/>
          <w:rFonts w:ascii="Times" w:hAnsi="Times"/>
          <w:b/>
          <w:color w:val="000000" w:themeColor="text1"/>
        </w:rPr>
        <w:t xml:space="preserve">can </w:t>
      </w:r>
      <w:r w:rsidRPr="00167B86">
        <w:rPr>
          <w:rStyle w:val="BodyText2"/>
          <w:rFonts w:ascii="Times" w:hAnsi="Times"/>
          <w:b/>
          <w:color w:val="000000" w:themeColor="text1"/>
        </w:rPr>
        <w:t>var</w:t>
      </w:r>
      <w:r w:rsidR="00167B86">
        <w:rPr>
          <w:rStyle w:val="BodyText2"/>
          <w:rFonts w:ascii="Times" w:hAnsi="Times"/>
          <w:b/>
          <w:color w:val="000000" w:themeColor="text1"/>
        </w:rPr>
        <w:t>y</w:t>
      </w:r>
      <w:r w:rsidRPr="00167B86">
        <w:rPr>
          <w:rStyle w:val="BodyText2"/>
          <w:rFonts w:ascii="Times" w:hAnsi="Times"/>
          <w:b/>
          <w:color w:val="000000" w:themeColor="text1"/>
        </w:rPr>
        <w:t xml:space="preserve"> among the different transactions.  </w:t>
      </w:r>
    </w:p>
    <w:p w:rsidR="00C75942" w:rsidRDefault="00C75942">
      <w:pPr>
        <w:pStyle w:val="FigureCaption"/>
        <w:rPr>
          <w:b/>
          <w:bCs/>
        </w:rPr>
      </w:pPr>
    </w:p>
    <w:p w:rsidR="008F486F" w:rsidRDefault="008F486F">
      <w:pPr>
        <w:pStyle w:val="FigureCaption"/>
        <w:rPr>
          <w:b/>
          <w:bCs/>
        </w:rPr>
      </w:pPr>
    </w:p>
    <w:p w:rsidR="008F486F" w:rsidRDefault="008F486F">
      <w:pPr>
        <w:pStyle w:val="FigureCaption"/>
        <w:rPr>
          <w:b/>
          <w:bCs/>
        </w:rPr>
      </w:pPr>
      <w:r>
        <w:rPr>
          <w:b/>
          <w:bCs/>
        </w:rPr>
        <w:t xml:space="preserve">This template has been modified from the IEEE Template for </w:t>
      </w:r>
    </w:p>
    <w:p w:rsidR="008F486F" w:rsidRDefault="008F486F">
      <w:pPr>
        <w:pStyle w:val="FigureCaption"/>
        <w:rPr>
          <w:b/>
          <w:bCs/>
        </w:rPr>
      </w:pPr>
      <w:proofErr w:type="gramStart"/>
      <w:r>
        <w:rPr>
          <w:b/>
          <w:bCs/>
        </w:rPr>
        <w:t xml:space="preserve">Transactions </w:t>
      </w:r>
      <w:r w:rsidR="00FD2E33">
        <w:rPr>
          <w:b/>
          <w:bCs/>
        </w:rPr>
        <w:t xml:space="preserve">specifically for TMI </w:t>
      </w:r>
      <w:r>
        <w:rPr>
          <w:b/>
          <w:bCs/>
        </w:rPr>
        <w:t>by the TMI Editorial Office, February 2016</w:t>
      </w:r>
      <w:r w:rsidR="00FD2E33">
        <w:rPr>
          <w:b/>
          <w:bCs/>
        </w:rPr>
        <w:t>.</w:t>
      </w:r>
      <w:proofErr w:type="gramEnd"/>
      <w:r w:rsidR="00FD2E33">
        <w:rPr>
          <w:b/>
          <w:bCs/>
        </w:rPr>
        <w:t xml:space="preserve">  </w:t>
      </w:r>
    </w:p>
    <w:sectPr w:rsidR="008F486F" w:rsidSect="00143F2E">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470" w:rsidRDefault="00013470">
      <w:r>
        <w:separator/>
      </w:r>
    </w:p>
  </w:endnote>
  <w:endnote w:type="continuationSeparator" w:id="0">
    <w:p w:rsidR="00013470" w:rsidRDefault="000134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Math">
    <w:altName w:val="MS Mincho"/>
    <w:panose1 w:val="00000000000000000000"/>
    <w:charset w:val="80"/>
    <w:family w:val="auto"/>
    <w:notTrueType/>
    <w:pitch w:val="default"/>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470" w:rsidRDefault="00013470"/>
  </w:footnote>
  <w:footnote w:type="continuationSeparator" w:id="0">
    <w:p w:rsidR="00013470" w:rsidRDefault="00013470">
      <w:r>
        <w:continuationSeparator/>
      </w:r>
    </w:p>
  </w:footnote>
  <w:footnote w:id="1">
    <w:p w:rsidR="00937057" w:rsidRDefault="00937057">
      <w:pPr>
        <w:pStyle w:val="FootnoteText"/>
      </w:pPr>
      <w:r>
        <w:t xml:space="preserve">This </w:t>
      </w:r>
      <w:r w:rsidR="001F342F">
        <w:t>project was submitted for evaluation on October 5</w:t>
      </w:r>
      <w:r w:rsidR="001F342F" w:rsidRPr="001F342F">
        <w:rPr>
          <w:vertAlign w:val="superscript"/>
        </w:rPr>
        <w:t>th</w:t>
      </w:r>
      <w:r w:rsidR="001F342F">
        <w:t>, 2018 at Arizona State University</w:t>
      </w:r>
      <w:r>
        <w:t xml:space="preserve">. </w:t>
      </w:r>
    </w:p>
    <w:p w:rsidR="00937057" w:rsidRDefault="009E5545" w:rsidP="009E5545">
      <w:pPr>
        <w:pStyle w:val="FootnoteText"/>
      </w:pPr>
      <w:r>
        <w:t xml:space="preserve">All development done for this project is licensed under Arizona State University. Authors Sarvesh Patil, </w:t>
      </w:r>
      <w:proofErr w:type="spellStart"/>
      <w:r>
        <w:t>Shubham</w:t>
      </w:r>
      <w:proofErr w:type="spellEnd"/>
      <w:r>
        <w:t xml:space="preserve"> </w:t>
      </w:r>
      <w:proofErr w:type="spellStart"/>
      <w:r>
        <w:t>Nandanwankar</w:t>
      </w:r>
      <w:proofErr w:type="spellEnd"/>
      <w:r>
        <w:t xml:space="preserve"> &amp; </w:t>
      </w:r>
      <w:proofErr w:type="spellStart"/>
      <w:r>
        <w:t>Achal</w:t>
      </w:r>
      <w:proofErr w:type="spellEnd"/>
      <w:r>
        <w:t xml:space="preserve"> Shah were with Arizona State University during the development of this project</w:t>
      </w:r>
      <w:r w:rsidR="001F342F">
        <w:t xml:space="preserve"> (2018)</w:t>
      </w:r>
      <w:r>
        <w:t xml:space="preserve">. This project was developed under the guidance of </w:t>
      </w:r>
      <w:r w:rsidR="001F342F">
        <w:t>Professor</w:t>
      </w:r>
      <w:r>
        <w:t xml:space="preserve"> Robert </w:t>
      </w:r>
      <w:proofErr w:type="spellStart"/>
      <w:r>
        <w:t>LiKamWa</w:t>
      </w:r>
      <w:proofErr w:type="spellEnd"/>
      <w:r>
        <w:t xml:space="preserve"> of Arizona State University</w:t>
      </w:r>
      <w:r w:rsidR="001F342F">
        <w:t xml:space="preserve"> (2018).</w:t>
      </w:r>
    </w:p>
  </w:footnote>
  <w:footnote w:id="2">
    <w:p w:rsidR="00937057" w:rsidRDefault="00937057" w:rsidP="00C075EF">
      <w:pPr>
        <w:pStyle w:val="FootnoteText"/>
      </w:pPr>
      <w:r>
        <w:rPr>
          <w:rStyle w:val="FootnoteReference"/>
        </w:rPr>
        <w:footnoteRef/>
      </w:r>
      <w:r w:rsidR="004C3006">
        <w:t xml:space="preserve"> </w:t>
      </w:r>
      <w:r>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E31595"/>
    <w:multiLevelType w:val="hybridMultilevel"/>
    <w:tmpl w:val="7EEE18CE"/>
    <w:lvl w:ilvl="0" w:tplc="1E0E78EC">
      <w:start w:val="1"/>
      <w:numFmt w:val="lowerRoman"/>
      <w:lvlText w:val="%1)"/>
      <w:lvlJc w:val="left"/>
      <w:pPr>
        <w:ind w:left="922" w:hanging="72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19">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0CA7C2B"/>
    <w:multiLevelType w:val="hybridMultilevel"/>
    <w:tmpl w:val="EE76AB42"/>
    <w:lvl w:ilvl="0" w:tplc="578CEFF4">
      <w:start w:val="1"/>
      <w:numFmt w:val="lowerRoman"/>
      <w:lvlText w:val="%1)"/>
      <w:lvlJc w:val="left"/>
      <w:pPr>
        <w:ind w:left="922" w:hanging="72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abstractNum w:abstractNumId="33">
    <w:nsid w:val="7DBD052D"/>
    <w:multiLevelType w:val="hybridMultilevel"/>
    <w:tmpl w:val="3BEC6182"/>
    <w:lvl w:ilvl="0" w:tplc="2CE6E238">
      <w:start w:val="1"/>
      <w:numFmt w:val="upperRoman"/>
      <w:lvlText w:val="%1)"/>
      <w:lvlJc w:val="left"/>
      <w:pPr>
        <w:ind w:left="1642" w:hanging="720"/>
      </w:pPr>
      <w:rPr>
        <w:rFonts w:hint="default"/>
      </w:rPr>
    </w:lvl>
    <w:lvl w:ilvl="1" w:tplc="40090019" w:tentative="1">
      <w:start w:val="1"/>
      <w:numFmt w:val="lowerLetter"/>
      <w:lvlText w:val="%2."/>
      <w:lvlJc w:val="left"/>
      <w:pPr>
        <w:ind w:left="2002" w:hanging="360"/>
      </w:pPr>
    </w:lvl>
    <w:lvl w:ilvl="2" w:tplc="4009001B" w:tentative="1">
      <w:start w:val="1"/>
      <w:numFmt w:val="lowerRoman"/>
      <w:lvlText w:val="%3."/>
      <w:lvlJc w:val="right"/>
      <w:pPr>
        <w:ind w:left="2722" w:hanging="180"/>
      </w:pPr>
    </w:lvl>
    <w:lvl w:ilvl="3" w:tplc="4009000F" w:tentative="1">
      <w:start w:val="1"/>
      <w:numFmt w:val="decimal"/>
      <w:lvlText w:val="%4."/>
      <w:lvlJc w:val="left"/>
      <w:pPr>
        <w:ind w:left="3442" w:hanging="360"/>
      </w:pPr>
    </w:lvl>
    <w:lvl w:ilvl="4" w:tplc="40090019" w:tentative="1">
      <w:start w:val="1"/>
      <w:numFmt w:val="lowerLetter"/>
      <w:lvlText w:val="%5."/>
      <w:lvlJc w:val="left"/>
      <w:pPr>
        <w:ind w:left="4162" w:hanging="360"/>
      </w:pPr>
    </w:lvl>
    <w:lvl w:ilvl="5" w:tplc="4009001B" w:tentative="1">
      <w:start w:val="1"/>
      <w:numFmt w:val="lowerRoman"/>
      <w:lvlText w:val="%6."/>
      <w:lvlJc w:val="right"/>
      <w:pPr>
        <w:ind w:left="4882" w:hanging="180"/>
      </w:pPr>
    </w:lvl>
    <w:lvl w:ilvl="6" w:tplc="4009000F" w:tentative="1">
      <w:start w:val="1"/>
      <w:numFmt w:val="decimal"/>
      <w:lvlText w:val="%7."/>
      <w:lvlJc w:val="left"/>
      <w:pPr>
        <w:ind w:left="5602" w:hanging="360"/>
      </w:pPr>
    </w:lvl>
    <w:lvl w:ilvl="7" w:tplc="40090019" w:tentative="1">
      <w:start w:val="1"/>
      <w:numFmt w:val="lowerLetter"/>
      <w:lvlText w:val="%8."/>
      <w:lvlJc w:val="left"/>
      <w:pPr>
        <w:ind w:left="6322" w:hanging="360"/>
      </w:pPr>
    </w:lvl>
    <w:lvl w:ilvl="8" w:tplc="4009001B" w:tentative="1">
      <w:start w:val="1"/>
      <w:numFmt w:val="lowerRoman"/>
      <w:lvlText w:val="%9."/>
      <w:lvlJc w:val="right"/>
      <w:pPr>
        <w:ind w:left="7042"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8"/>
  </w:num>
  <w:num w:numId="43">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3554"/>
  </w:hdrShapeDefaults>
  <w:footnotePr>
    <w:footnote w:id="-1"/>
    <w:footnote w:id="0"/>
  </w:footnotePr>
  <w:endnotePr>
    <w:endnote w:id="-1"/>
    <w:endnote w:id="0"/>
  </w:endnotePr>
  <w:compat/>
  <w:rsids>
    <w:rsidRoot w:val="0091035B"/>
    <w:rsid w:val="0001341B"/>
    <w:rsid w:val="00013470"/>
    <w:rsid w:val="000240EE"/>
    <w:rsid w:val="00025C4C"/>
    <w:rsid w:val="00042E13"/>
    <w:rsid w:val="000770C6"/>
    <w:rsid w:val="00083016"/>
    <w:rsid w:val="000A168B"/>
    <w:rsid w:val="000D2BDE"/>
    <w:rsid w:val="000E4B6A"/>
    <w:rsid w:val="00104BB0"/>
    <w:rsid w:val="0010794E"/>
    <w:rsid w:val="00111196"/>
    <w:rsid w:val="00131245"/>
    <w:rsid w:val="0013354F"/>
    <w:rsid w:val="001346F5"/>
    <w:rsid w:val="00143F2E"/>
    <w:rsid w:val="00144E72"/>
    <w:rsid w:val="00167B86"/>
    <w:rsid w:val="001768FF"/>
    <w:rsid w:val="001831A8"/>
    <w:rsid w:val="001A60B1"/>
    <w:rsid w:val="001B36B1"/>
    <w:rsid w:val="001E2F4A"/>
    <w:rsid w:val="001E7B7A"/>
    <w:rsid w:val="001F08DE"/>
    <w:rsid w:val="001F342F"/>
    <w:rsid w:val="001F4B01"/>
    <w:rsid w:val="001F4C5C"/>
    <w:rsid w:val="00204478"/>
    <w:rsid w:val="00214E2E"/>
    <w:rsid w:val="00216141"/>
    <w:rsid w:val="00217186"/>
    <w:rsid w:val="00222404"/>
    <w:rsid w:val="002310EA"/>
    <w:rsid w:val="00236B9A"/>
    <w:rsid w:val="002434A1"/>
    <w:rsid w:val="00263943"/>
    <w:rsid w:val="00267B35"/>
    <w:rsid w:val="002A0064"/>
    <w:rsid w:val="002B198D"/>
    <w:rsid w:val="002D0BA3"/>
    <w:rsid w:val="002E13A1"/>
    <w:rsid w:val="002E5357"/>
    <w:rsid w:val="002F7910"/>
    <w:rsid w:val="00302A72"/>
    <w:rsid w:val="00304880"/>
    <w:rsid w:val="0031002D"/>
    <w:rsid w:val="00310D92"/>
    <w:rsid w:val="00323D86"/>
    <w:rsid w:val="003427CE"/>
    <w:rsid w:val="00355CC6"/>
    <w:rsid w:val="0036013C"/>
    <w:rsid w:val="00360269"/>
    <w:rsid w:val="0037551B"/>
    <w:rsid w:val="003900CF"/>
    <w:rsid w:val="00392DBA"/>
    <w:rsid w:val="003A67F7"/>
    <w:rsid w:val="003C3322"/>
    <w:rsid w:val="003C68C2"/>
    <w:rsid w:val="003D4CAE"/>
    <w:rsid w:val="003D75C1"/>
    <w:rsid w:val="003F26BD"/>
    <w:rsid w:val="003F52AD"/>
    <w:rsid w:val="003F6F60"/>
    <w:rsid w:val="0040122F"/>
    <w:rsid w:val="004055C6"/>
    <w:rsid w:val="004132ED"/>
    <w:rsid w:val="00415AD1"/>
    <w:rsid w:val="0043144F"/>
    <w:rsid w:val="00431BFA"/>
    <w:rsid w:val="004353CF"/>
    <w:rsid w:val="00455623"/>
    <w:rsid w:val="004631BC"/>
    <w:rsid w:val="00463D87"/>
    <w:rsid w:val="0046684B"/>
    <w:rsid w:val="00484761"/>
    <w:rsid w:val="00484DD5"/>
    <w:rsid w:val="00487B89"/>
    <w:rsid w:val="004C1E16"/>
    <w:rsid w:val="004C2543"/>
    <w:rsid w:val="004C2BDA"/>
    <w:rsid w:val="004C3006"/>
    <w:rsid w:val="004D15CA"/>
    <w:rsid w:val="004D6BF0"/>
    <w:rsid w:val="004E3E4C"/>
    <w:rsid w:val="004E62AE"/>
    <w:rsid w:val="004F23A0"/>
    <w:rsid w:val="005003E3"/>
    <w:rsid w:val="005038C3"/>
    <w:rsid w:val="005052CD"/>
    <w:rsid w:val="00521906"/>
    <w:rsid w:val="00550A26"/>
    <w:rsid w:val="00550BF5"/>
    <w:rsid w:val="00567A70"/>
    <w:rsid w:val="005863DD"/>
    <w:rsid w:val="005A2A15"/>
    <w:rsid w:val="005A3770"/>
    <w:rsid w:val="005D1B15"/>
    <w:rsid w:val="005D2824"/>
    <w:rsid w:val="005D4F1A"/>
    <w:rsid w:val="005D72BB"/>
    <w:rsid w:val="005E5011"/>
    <w:rsid w:val="005E692F"/>
    <w:rsid w:val="00617218"/>
    <w:rsid w:val="0062114B"/>
    <w:rsid w:val="00623698"/>
    <w:rsid w:val="00625E96"/>
    <w:rsid w:val="00640B54"/>
    <w:rsid w:val="00641D73"/>
    <w:rsid w:val="00642B8E"/>
    <w:rsid w:val="00647C09"/>
    <w:rsid w:val="00651F2C"/>
    <w:rsid w:val="00675F28"/>
    <w:rsid w:val="00693D5D"/>
    <w:rsid w:val="006B7F03"/>
    <w:rsid w:val="00725B45"/>
    <w:rsid w:val="0077109A"/>
    <w:rsid w:val="007C4336"/>
    <w:rsid w:val="007E00B4"/>
    <w:rsid w:val="007F7AA6"/>
    <w:rsid w:val="00823624"/>
    <w:rsid w:val="008348F4"/>
    <w:rsid w:val="00837E47"/>
    <w:rsid w:val="008518FE"/>
    <w:rsid w:val="0085659C"/>
    <w:rsid w:val="0086285A"/>
    <w:rsid w:val="00866042"/>
    <w:rsid w:val="00872026"/>
    <w:rsid w:val="0087792E"/>
    <w:rsid w:val="00883EAF"/>
    <w:rsid w:val="00885258"/>
    <w:rsid w:val="008A30C3"/>
    <w:rsid w:val="008A3C23"/>
    <w:rsid w:val="008B4580"/>
    <w:rsid w:val="008C49CC"/>
    <w:rsid w:val="008D0A66"/>
    <w:rsid w:val="008D69E9"/>
    <w:rsid w:val="008E0645"/>
    <w:rsid w:val="008F3390"/>
    <w:rsid w:val="008F486F"/>
    <w:rsid w:val="008F594A"/>
    <w:rsid w:val="008F65A3"/>
    <w:rsid w:val="0090480B"/>
    <w:rsid w:val="00904C7E"/>
    <w:rsid w:val="0091035B"/>
    <w:rsid w:val="00937057"/>
    <w:rsid w:val="009377D5"/>
    <w:rsid w:val="0094593E"/>
    <w:rsid w:val="0095542A"/>
    <w:rsid w:val="00961F7B"/>
    <w:rsid w:val="009A1F6E"/>
    <w:rsid w:val="009C7D17"/>
    <w:rsid w:val="009E484E"/>
    <w:rsid w:val="009E5545"/>
    <w:rsid w:val="009F40FB"/>
    <w:rsid w:val="00A22FCB"/>
    <w:rsid w:val="00A25820"/>
    <w:rsid w:val="00A472F1"/>
    <w:rsid w:val="00A5237D"/>
    <w:rsid w:val="00A554A3"/>
    <w:rsid w:val="00A60CDA"/>
    <w:rsid w:val="00A61904"/>
    <w:rsid w:val="00A62F87"/>
    <w:rsid w:val="00A758EA"/>
    <w:rsid w:val="00A95C50"/>
    <w:rsid w:val="00AB1AA4"/>
    <w:rsid w:val="00AB79A6"/>
    <w:rsid w:val="00AC4850"/>
    <w:rsid w:val="00AE7F4F"/>
    <w:rsid w:val="00B169F8"/>
    <w:rsid w:val="00B37ED8"/>
    <w:rsid w:val="00B47B59"/>
    <w:rsid w:val="00B53F81"/>
    <w:rsid w:val="00B56C2B"/>
    <w:rsid w:val="00B65BD3"/>
    <w:rsid w:val="00B70469"/>
    <w:rsid w:val="00B72DD8"/>
    <w:rsid w:val="00B72E09"/>
    <w:rsid w:val="00B949E5"/>
    <w:rsid w:val="00BA2A0B"/>
    <w:rsid w:val="00BB67E0"/>
    <w:rsid w:val="00BE574D"/>
    <w:rsid w:val="00BF0C69"/>
    <w:rsid w:val="00BF4F80"/>
    <w:rsid w:val="00BF629B"/>
    <w:rsid w:val="00BF655C"/>
    <w:rsid w:val="00C075EF"/>
    <w:rsid w:val="00C11E83"/>
    <w:rsid w:val="00C2378A"/>
    <w:rsid w:val="00C378A1"/>
    <w:rsid w:val="00C621D6"/>
    <w:rsid w:val="00C75942"/>
    <w:rsid w:val="00C82D86"/>
    <w:rsid w:val="00C93DA3"/>
    <w:rsid w:val="00CB4B8D"/>
    <w:rsid w:val="00CC0DDA"/>
    <w:rsid w:val="00CC50DF"/>
    <w:rsid w:val="00CD684F"/>
    <w:rsid w:val="00CF13F3"/>
    <w:rsid w:val="00D06623"/>
    <w:rsid w:val="00D14C6B"/>
    <w:rsid w:val="00D26B97"/>
    <w:rsid w:val="00D5536F"/>
    <w:rsid w:val="00D56935"/>
    <w:rsid w:val="00D758C6"/>
    <w:rsid w:val="00D82C18"/>
    <w:rsid w:val="00D90C10"/>
    <w:rsid w:val="00D92E96"/>
    <w:rsid w:val="00DA258C"/>
    <w:rsid w:val="00DA634B"/>
    <w:rsid w:val="00DC06FE"/>
    <w:rsid w:val="00DC075F"/>
    <w:rsid w:val="00DE07FA"/>
    <w:rsid w:val="00DE77F2"/>
    <w:rsid w:val="00DF2DDE"/>
    <w:rsid w:val="00E01667"/>
    <w:rsid w:val="00E32575"/>
    <w:rsid w:val="00E36209"/>
    <w:rsid w:val="00E420BB"/>
    <w:rsid w:val="00E50DF6"/>
    <w:rsid w:val="00E5764B"/>
    <w:rsid w:val="00E674EE"/>
    <w:rsid w:val="00E7459B"/>
    <w:rsid w:val="00E965C5"/>
    <w:rsid w:val="00E96A3A"/>
    <w:rsid w:val="00E97402"/>
    <w:rsid w:val="00E97B99"/>
    <w:rsid w:val="00EB2E9D"/>
    <w:rsid w:val="00EC047B"/>
    <w:rsid w:val="00EC27B9"/>
    <w:rsid w:val="00EC3E94"/>
    <w:rsid w:val="00EC585E"/>
    <w:rsid w:val="00ED4813"/>
    <w:rsid w:val="00ED4F5D"/>
    <w:rsid w:val="00EE654E"/>
    <w:rsid w:val="00EE6FFC"/>
    <w:rsid w:val="00EF10AC"/>
    <w:rsid w:val="00EF4701"/>
    <w:rsid w:val="00EF564E"/>
    <w:rsid w:val="00F1562A"/>
    <w:rsid w:val="00F22198"/>
    <w:rsid w:val="00F225C8"/>
    <w:rsid w:val="00F22D66"/>
    <w:rsid w:val="00F33D49"/>
    <w:rsid w:val="00F33FE9"/>
    <w:rsid w:val="00F3481E"/>
    <w:rsid w:val="00F351A2"/>
    <w:rsid w:val="00F500B1"/>
    <w:rsid w:val="00F577F6"/>
    <w:rsid w:val="00F65266"/>
    <w:rsid w:val="00F67122"/>
    <w:rsid w:val="00F751E1"/>
    <w:rsid w:val="00FC2E54"/>
    <w:rsid w:val="00FD2E33"/>
    <w:rsid w:val="00FD347F"/>
    <w:rsid w:val="00FE148F"/>
    <w:rsid w:val="00FF16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6F60"/>
  </w:style>
  <w:style w:type="paragraph" w:styleId="Heading1">
    <w:name w:val="heading 1"/>
    <w:basedOn w:val="Normal"/>
    <w:next w:val="Normal"/>
    <w:link w:val="Heading1Char"/>
    <w:uiPriority w:val="9"/>
    <w:qFormat/>
    <w:rsid w:val="003F6F60"/>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3F6F60"/>
    <w:pPr>
      <w:keepNext/>
      <w:numPr>
        <w:ilvl w:val="1"/>
        <w:numId w:val="1"/>
      </w:numPr>
      <w:spacing w:before="120" w:after="60"/>
      <w:outlineLvl w:val="1"/>
    </w:pPr>
    <w:rPr>
      <w:i/>
      <w:iCs/>
    </w:rPr>
  </w:style>
  <w:style w:type="paragraph" w:styleId="Heading3">
    <w:name w:val="heading 3"/>
    <w:basedOn w:val="Normal"/>
    <w:next w:val="Normal"/>
    <w:uiPriority w:val="9"/>
    <w:qFormat/>
    <w:rsid w:val="003F6F60"/>
    <w:pPr>
      <w:keepNext/>
      <w:numPr>
        <w:ilvl w:val="2"/>
        <w:numId w:val="1"/>
      </w:numPr>
      <w:outlineLvl w:val="2"/>
    </w:pPr>
    <w:rPr>
      <w:i/>
      <w:iCs/>
    </w:rPr>
  </w:style>
  <w:style w:type="paragraph" w:styleId="Heading4">
    <w:name w:val="heading 4"/>
    <w:basedOn w:val="Normal"/>
    <w:next w:val="Normal"/>
    <w:uiPriority w:val="9"/>
    <w:qFormat/>
    <w:rsid w:val="003F6F60"/>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3F6F60"/>
    <w:pPr>
      <w:numPr>
        <w:ilvl w:val="4"/>
        <w:numId w:val="1"/>
      </w:numPr>
      <w:spacing w:before="240" w:after="60"/>
      <w:outlineLvl w:val="4"/>
    </w:pPr>
    <w:rPr>
      <w:sz w:val="18"/>
      <w:szCs w:val="18"/>
    </w:rPr>
  </w:style>
  <w:style w:type="paragraph" w:styleId="Heading6">
    <w:name w:val="heading 6"/>
    <w:basedOn w:val="Normal"/>
    <w:next w:val="Normal"/>
    <w:uiPriority w:val="9"/>
    <w:qFormat/>
    <w:rsid w:val="003F6F60"/>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3F6F60"/>
    <w:pPr>
      <w:numPr>
        <w:ilvl w:val="6"/>
        <w:numId w:val="1"/>
      </w:numPr>
      <w:spacing w:before="240" w:after="60"/>
      <w:outlineLvl w:val="6"/>
    </w:pPr>
    <w:rPr>
      <w:sz w:val="16"/>
      <w:szCs w:val="16"/>
    </w:rPr>
  </w:style>
  <w:style w:type="paragraph" w:styleId="Heading8">
    <w:name w:val="heading 8"/>
    <w:basedOn w:val="Normal"/>
    <w:next w:val="Normal"/>
    <w:uiPriority w:val="9"/>
    <w:qFormat/>
    <w:rsid w:val="003F6F60"/>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3F6F6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3F6F60"/>
    <w:pPr>
      <w:spacing w:before="20"/>
      <w:ind w:firstLine="202"/>
      <w:jc w:val="both"/>
    </w:pPr>
    <w:rPr>
      <w:b/>
      <w:bCs/>
      <w:sz w:val="18"/>
      <w:szCs w:val="18"/>
    </w:rPr>
  </w:style>
  <w:style w:type="paragraph" w:customStyle="1" w:styleId="Authors">
    <w:name w:val="Authors"/>
    <w:basedOn w:val="Normal"/>
    <w:next w:val="Normal"/>
    <w:rsid w:val="003F6F6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3F6F60"/>
    <w:rPr>
      <w:rFonts w:ascii="Times New Roman" w:hAnsi="Times New Roman" w:cs="Times New Roman"/>
      <w:i/>
      <w:iCs/>
      <w:sz w:val="22"/>
      <w:szCs w:val="22"/>
    </w:rPr>
  </w:style>
  <w:style w:type="paragraph" w:styleId="Title">
    <w:name w:val="Title"/>
    <w:basedOn w:val="Normal"/>
    <w:next w:val="Normal"/>
    <w:qFormat/>
    <w:rsid w:val="003F6F60"/>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3F6F60"/>
    <w:pPr>
      <w:ind w:firstLine="202"/>
      <w:jc w:val="both"/>
    </w:pPr>
    <w:rPr>
      <w:sz w:val="16"/>
      <w:szCs w:val="16"/>
    </w:rPr>
  </w:style>
  <w:style w:type="paragraph" w:customStyle="1" w:styleId="References">
    <w:name w:val="References"/>
    <w:basedOn w:val="Normal"/>
    <w:rsid w:val="003F6F60"/>
    <w:pPr>
      <w:numPr>
        <w:numId w:val="12"/>
      </w:numPr>
      <w:jc w:val="both"/>
    </w:pPr>
    <w:rPr>
      <w:sz w:val="16"/>
      <w:szCs w:val="16"/>
    </w:rPr>
  </w:style>
  <w:style w:type="paragraph" w:customStyle="1" w:styleId="IndexTerms">
    <w:name w:val="IndexTerms"/>
    <w:basedOn w:val="Normal"/>
    <w:next w:val="Normal"/>
    <w:rsid w:val="003F6F60"/>
    <w:pPr>
      <w:ind w:firstLine="202"/>
      <w:jc w:val="both"/>
    </w:pPr>
    <w:rPr>
      <w:b/>
      <w:bCs/>
      <w:sz w:val="18"/>
      <w:szCs w:val="18"/>
    </w:rPr>
  </w:style>
  <w:style w:type="character" w:styleId="FootnoteReference">
    <w:name w:val="footnote reference"/>
    <w:basedOn w:val="DefaultParagraphFont"/>
    <w:semiHidden/>
    <w:rsid w:val="003F6F60"/>
    <w:rPr>
      <w:vertAlign w:val="superscript"/>
    </w:rPr>
  </w:style>
  <w:style w:type="paragraph" w:styleId="Footer">
    <w:name w:val="footer"/>
    <w:basedOn w:val="Normal"/>
    <w:link w:val="FooterChar"/>
    <w:uiPriority w:val="99"/>
    <w:rsid w:val="003F6F60"/>
    <w:pPr>
      <w:tabs>
        <w:tab w:val="center" w:pos="4320"/>
        <w:tab w:val="right" w:pos="8640"/>
      </w:tabs>
    </w:pPr>
  </w:style>
  <w:style w:type="paragraph" w:customStyle="1" w:styleId="Text">
    <w:name w:val="Text"/>
    <w:basedOn w:val="Normal"/>
    <w:rsid w:val="003F6F60"/>
    <w:pPr>
      <w:widowControl w:val="0"/>
      <w:spacing w:line="252" w:lineRule="auto"/>
      <w:ind w:firstLine="202"/>
      <w:jc w:val="both"/>
    </w:pPr>
  </w:style>
  <w:style w:type="paragraph" w:customStyle="1" w:styleId="FigureCaption">
    <w:name w:val="Figure Caption"/>
    <w:basedOn w:val="Normal"/>
    <w:rsid w:val="003F6F60"/>
    <w:pPr>
      <w:jc w:val="both"/>
    </w:pPr>
    <w:rPr>
      <w:sz w:val="16"/>
      <w:szCs w:val="16"/>
    </w:rPr>
  </w:style>
  <w:style w:type="paragraph" w:customStyle="1" w:styleId="TableTitle">
    <w:name w:val="Table Title"/>
    <w:basedOn w:val="Normal"/>
    <w:rsid w:val="003F6F60"/>
    <w:pPr>
      <w:jc w:val="center"/>
    </w:pPr>
    <w:rPr>
      <w:smallCaps/>
      <w:sz w:val="16"/>
      <w:szCs w:val="16"/>
    </w:rPr>
  </w:style>
  <w:style w:type="paragraph" w:customStyle="1" w:styleId="ReferenceHead">
    <w:name w:val="Reference Head"/>
    <w:basedOn w:val="Heading1"/>
    <w:link w:val="ReferenceHeadChar"/>
    <w:rsid w:val="003F6F60"/>
    <w:pPr>
      <w:numPr>
        <w:numId w:val="0"/>
      </w:numPr>
    </w:pPr>
  </w:style>
  <w:style w:type="paragraph" w:styleId="Header">
    <w:name w:val="header"/>
    <w:basedOn w:val="Normal"/>
    <w:rsid w:val="003F6F60"/>
    <w:pPr>
      <w:tabs>
        <w:tab w:val="center" w:pos="4320"/>
        <w:tab w:val="right" w:pos="8640"/>
      </w:tabs>
    </w:pPr>
  </w:style>
  <w:style w:type="paragraph" w:customStyle="1" w:styleId="Equation">
    <w:name w:val="Equation"/>
    <w:basedOn w:val="Normal"/>
    <w:next w:val="Normal"/>
    <w:rsid w:val="003F6F60"/>
    <w:pPr>
      <w:widowControl w:val="0"/>
      <w:tabs>
        <w:tab w:val="right" w:pos="5040"/>
      </w:tabs>
      <w:spacing w:line="252" w:lineRule="auto"/>
      <w:jc w:val="both"/>
    </w:pPr>
  </w:style>
  <w:style w:type="character" w:styleId="Hyperlink">
    <w:name w:val="Hyperlink"/>
    <w:basedOn w:val="DefaultParagraphFont"/>
    <w:rsid w:val="003F6F60"/>
    <w:rPr>
      <w:color w:val="0000FF"/>
      <w:u w:val="single"/>
    </w:rPr>
  </w:style>
  <w:style w:type="character" w:styleId="FollowedHyperlink">
    <w:name w:val="FollowedHyperlink"/>
    <w:basedOn w:val="DefaultParagraphFont"/>
    <w:rsid w:val="003F6F60"/>
    <w:rPr>
      <w:color w:val="800080"/>
      <w:u w:val="single"/>
    </w:rPr>
  </w:style>
  <w:style w:type="paragraph" w:styleId="BodyTextIndent">
    <w:name w:val="Body Text Indent"/>
    <w:basedOn w:val="Normal"/>
    <w:link w:val="BodyTextIndentChar"/>
    <w:rsid w:val="003F6F6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pl-smi">
    <w:name w:val="pl-smi"/>
    <w:basedOn w:val="DefaultParagraphFont"/>
    <w:rsid w:val="00FC2E54"/>
  </w:style>
  <w:style w:type="character" w:customStyle="1" w:styleId="pl-k">
    <w:name w:val="pl-k"/>
    <w:basedOn w:val="DefaultParagraphFont"/>
    <w:rsid w:val="00FC2E54"/>
  </w:style>
  <w:style w:type="character" w:customStyle="1" w:styleId="pl-s">
    <w:name w:val="pl-s"/>
    <w:basedOn w:val="DefaultParagraphFont"/>
    <w:rsid w:val="005A3770"/>
  </w:style>
  <w:style w:type="character" w:customStyle="1" w:styleId="pl-pds">
    <w:name w:val="pl-pds"/>
    <w:basedOn w:val="DefaultParagraphFont"/>
    <w:rsid w:val="005A3770"/>
  </w:style>
  <w:style w:type="paragraph" w:styleId="NormalWeb">
    <w:name w:val="Normal (Web)"/>
    <w:basedOn w:val="Normal"/>
    <w:uiPriority w:val="99"/>
    <w:unhideWhenUsed/>
    <w:rsid w:val="004132ED"/>
    <w:pPr>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r="http://schemas.openxmlformats.org/officeDocument/2006/relationships" xmlns:w="http://schemas.openxmlformats.org/wordprocessingml/2006/main">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228952638">
      <w:bodyDiv w:val="1"/>
      <w:marLeft w:val="0"/>
      <w:marRight w:val="0"/>
      <w:marTop w:val="0"/>
      <w:marBottom w:val="0"/>
      <w:divBdr>
        <w:top w:val="none" w:sz="0" w:space="0" w:color="auto"/>
        <w:left w:val="none" w:sz="0" w:space="0" w:color="auto"/>
        <w:bottom w:val="none" w:sz="0" w:space="0" w:color="auto"/>
        <w:right w:val="none" w:sz="0" w:space="0" w:color="auto"/>
      </w:divBdr>
    </w:div>
    <w:div w:id="128824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tm.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ee.org/web/publications/authors/transjnl/index.html" TargetMode="External"/><Relationship Id="rId17" Type="http://schemas.openxmlformats.org/officeDocument/2006/relationships/hyperlink" Target="mailto:HUMANIST@NYVM.ORG" TargetMode="External"/><Relationship Id="rId2" Type="http://schemas.openxmlformats.org/officeDocument/2006/relationships/numbering" Target="numbering.xml"/><Relationship Id="rId16" Type="http://schemas.openxmlformats.org/officeDocument/2006/relationships/hyperlink" Target="http://www.amdahl.com/doc/products/bsg/intra/infra/html"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copyright" TargetMode="External"/><Relationship Id="rId5" Type="http://schemas.openxmlformats.org/officeDocument/2006/relationships/webSettings" Target="webSettings.xml"/><Relationship Id="rId15" Type="http://schemas.openxmlformats.org/officeDocument/2006/relationships/hyperlink" Target="http://home.process.com/Intranets/wp2.htp" TargetMode="External"/><Relationship Id="rId10" Type="http://schemas.openxmlformats.org/officeDocument/2006/relationships/hyperlink" Target="https://mc.manuscriptcentral.com/tmi-iee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halcyon.com/pub/journals/21ps03-vid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2D66C-1100-403A-9E05-78FACE18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6</Pages>
  <Words>4413</Words>
  <Characters>25156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29510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Sarvesh007</cp:lastModifiedBy>
  <cp:revision>22</cp:revision>
  <cp:lastPrinted>2012-08-02T18:53:00Z</cp:lastPrinted>
  <dcterms:created xsi:type="dcterms:W3CDTF">2016-02-17T19:42:00Z</dcterms:created>
  <dcterms:modified xsi:type="dcterms:W3CDTF">2018-10-05T23:37:00Z</dcterms:modified>
</cp:coreProperties>
</file>