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c>
          <w:tcPr>
            <w:tcW w:type="dxa" w:w="10080"/>
            <w:shd w:fill="12233B" w:color="auto" w:val="clear"/>
            <w:tcMar>
              <w:top w:type="dxa" w:w="420"/>
              <w:left w:type="dxa" w:w="420"/>
              <w:bottom w:type="dxa" w:w="420"/>
              <w:right w:type="dxa" w:w="420"/>
            </w:tcMar>
          </w:tcPr>
          <w:p>
            <w:pPr>
              <w:spacing w:after="160"/>
            </w:pPr>
            <w:r>
              <w:rPr>
                <w:rFonts w:ascii="Calibri" w:cs="Calibri" w:eastAsia="Calibri" w:hAnsi="Calibri"/>
                <w:b/>
                <w:bCs/>
                <w:caps/>
                <w:color w:val="D9A441"/>
                <w:spacing w:val="16"/>
                <w:sz w:val="18"/>
                <w:szCs w:val="18"/>
              </w:rPr>
              <w:t xml:space="preserve">PHARMA COMMERCIAL ANALYTICS  ·  CASE STUDY</w:t>
            </w:r>
          </w:p>
          <w:p>
            <w:pPr>
              <w:spacing w:after="160"/>
            </w:pPr>
            <w:r>
              <w:rPr>
                <w:rFonts w:ascii="Cambria" w:cs="Cambria" w:eastAsia="Cambria" w:hAnsi="Cambria"/>
                <w:b/>
                <w:bCs/>
                <w:color w:val="FFFFFF"/>
                <w:sz w:val="48"/>
                <w:szCs w:val="48"/>
              </w:rPr>
              <w:t xml:space="preserve">Physician Segmentation &amp; Commercial Prioritization</w:t>
            </w:r>
          </w:p>
          <w:p>
            <w:pPr>
              <w:spacing w:after="260"/>
            </w:pPr>
            <w:r>
              <w:rPr>
                <w:rFonts w:ascii="Calibri" w:cs="Calibri" w:eastAsia="Calibri" w:hAnsi="Calibri"/>
                <w:i/>
                <w:iCs/>
                <w:color w:val="C9D3DE"/>
                <w:sz w:val="22"/>
                <w:szCs w:val="22"/>
              </w:rPr>
              <w:t xml:space="preserve">Turning a 10.3% adoption rate into a targeted, cost-aware commercial plan for NovaCard</w:t>
            </w:r>
          </w:p>
        </w:tc>
      </w:tr>
    </w:tbl>
    <w:p>
      <w:pPr>
        <w:spacing w:after="3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20"/>
        <w:gridCol w:w="2520"/>
        <w:gridCol w:w="2520"/>
        <w:gridCol w:w="2520"/>
      </w:tblGrid>
      <w:tr>
        <w:tc>
          <w:tcPr>
            <w:tcW w:type="dxa" w:w="2520"/>
            <w:tcBorders>
              <w:top w:val="single" w:color="C14A32" w:sz="20"/>
              <w:left w:val="none" w:color="FFFFFF" w:sz="0"/>
              <w:bottom w:val="none" w:color="FFFFFF" w:sz="0"/>
              <w:right w:val="none" w:color="FFFFFF" w:sz="0"/>
            </w:tcBorders>
            <w:shd w:fill="F7F6F2" w:color="auto" w:val="clear"/>
            <w:tcMar>
              <w:top w:type="dxa" w:w="200"/>
              <w:left w:type="dxa" w:w="120"/>
              <w:bottom w:type="dxa" w:w="220"/>
              <w:right w:type="dxa" w:w="120"/>
            </w:tcMar>
          </w:tcPr>
          <w:p>
            <w:pPr>
              <w:spacing w:after="40"/>
              <w:jc w:val="center"/>
            </w:pPr>
            <w:r>
              <w:rPr>
                <w:rFonts w:ascii="Cambria" w:cs="Cambria" w:eastAsia="Cambria" w:hAnsi="Cambria"/>
                <w:b/>
                <w:bCs/>
                <w:color w:val="12233B"/>
                <w:sz w:val="34"/>
                <w:szCs w:val="34"/>
              </w:rPr>
              <w:t xml:space="preserve">10.3%</w:t>
            </w:r>
          </w:p>
          <w:p>
            <w:pPr>
              <w:jc w:val="center"/>
            </w:pPr>
            <w:r>
              <w:rPr>
                <w:rFonts w:ascii="Calibri" w:cs="Calibri" w:eastAsia="Calibri" w:hAnsi="Calibri"/>
                <w:caps/>
                <w:color w:val="5B6472"/>
                <w:spacing w:val="12"/>
                <w:sz w:val="16"/>
                <w:szCs w:val="16"/>
              </w:rPr>
              <w:t xml:space="preserve">Adoption Rate</w:t>
            </w:r>
          </w:p>
        </w:tc>
        <w:tc>
          <w:tcPr>
            <w:tcW w:type="dxa" w:w="2520"/>
            <w:tcBorders>
              <w:top w:val="single" w:color="5B6472" w:sz="20"/>
              <w:left w:val="none" w:color="FFFFFF" w:sz="0"/>
              <w:bottom w:val="none" w:color="FFFFFF" w:sz="0"/>
              <w:right w:val="none" w:color="FFFFFF" w:sz="0"/>
            </w:tcBorders>
            <w:shd w:fill="F7F6F2" w:color="auto" w:val="clear"/>
            <w:tcMar>
              <w:top w:type="dxa" w:w="200"/>
              <w:left w:type="dxa" w:w="120"/>
              <w:bottom w:type="dxa" w:w="220"/>
              <w:right w:type="dxa" w:w="120"/>
            </w:tcMar>
          </w:tcPr>
          <w:p>
            <w:pPr>
              <w:spacing w:after="40"/>
              <w:jc w:val="center"/>
            </w:pPr>
            <w:r>
              <w:rPr>
                <w:rFonts w:ascii="Cambria" w:cs="Cambria" w:eastAsia="Cambria" w:hAnsi="Cambria"/>
                <w:b/>
                <w:bCs/>
                <w:color w:val="12233B"/>
                <w:sz w:val="34"/>
                <w:szCs w:val="34"/>
              </w:rPr>
              <w:t xml:space="preserve">800</w:t>
            </w:r>
          </w:p>
          <w:p>
            <w:pPr>
              <w:jc w:val="center"/>
            </w:pPr>
            <w:r>
              <w:rPr>
                <w:rFonts w:ascii="Calibri" w:cs="Calibri" w:eastAsia="Calibri" w:hAnsi="Calibri"/>
                <w:caps/>
                <w:color w:val="5B6472"/>
                <w:spacing w:val="12"/>
                <w:sz w:val="16"/>
                <w:szCs w:val="16"/>
              </w:rPr>
              <w:t xml:space="preserve">Physicians Analyzed</w:t>
            </w:r>
          </w:p>
        </w:tc>
        <w:tc>
          <w:tcPr>
            <w:tcW w:type="dxa" w:w="2520"/>
            <w:tcBorders>
              <w:top w:val="single" w:color="B8842E" w:sz="20"/>
              <w:left w:val="none" w:color="FFFFFF" w:sz="0"/>
              <w:bottom w:val="none" w:color="FFFFFF" w:sz="0"/>
              <w:right w:val="none" w:color="FFFFFF" w:sz="0"/>
            </w:tcBorders>
            <w:shd w:fill="F7F6F2" w:color="auto" w:val="clear"/>
            <w:tcMar>
              <w:top w:type="dxa" w:w="200"/>
              <w:left w:type="dxa" w:w="120"/>
              <w:bottom w:type="dxa" w:w="220"/>
              <w:right w:type="dxa" w:w="120"/>
            </w:tcMar>
          </w:tcPr>
          <w:p>
            <w:pPr>
              <w:spacing w:after="40"/>
              <w:jc w:val="center"/>
            </w:pPr>
            <w:r>
              <w:rPr>
                <w:rFonts w:ascii="Cambria" w:cs="Cambria" w:eastAsia="Cambria" w:hAnsi="Cambria"/>
                <w:b/>
                <w:bCs/>
                <w:color w:val="12233B"/>
                <w:sz w:val="34"/>
                <w:szCs w:val="34"/>
              </w:rPr>
              <w:t xml:space="preserve">146,292</w:t>
            </w:r>
          </w:p>
          <w:p>
            <w:pPr>
              <w:jc w:val="center"/>
            </w:pPr>
            <w:r>
              <w:rPr>
                <w:rFonts w:ascii="Calibri" w:cs="Calibri" w:eastAsia="Calibri" w:hAnsi="Calibri"/>
                <w:caps/>
                <w:color w:val="5B6472"/>
                <w:spacing w:val="12"/>
                <w:sz w:val="16"/>
                <w:szCs w:val="16"/>
              </w:rPr>
              <w:t xml:space="preserve">Eligible Patients</w:t>
            </w:r>
          </w:p>
        </w:tc>
        <w:tc>
          <w:tcPr>
            <w:tcW w:type="dxa" w:w="2520"/>
            <w:tcBorders>
              <w:top w:val="single" w:color="1F7A6C" w:sz="20"/>
              <w:left w:val="none" w:color="FFFFFF" w:sz="0"/>
              <w:bottom w:val="none" w:color="FFFFFF" w:sz="0"/>
              <w:right w:val="none" w:color="FFFFFF" w:sz="0"/>
            </w:tcBorders>
            <w:shd w:fill="F7F6F2" w:color="auto" w:val="clear"/>
            <w:tcMar>
              <w:top w:type="dxa" w:w="200"/>
              <w:left w:type="dxa" w:w="120"/>
              <w:bottom w:type="dxa" w:w="220"/>
              <w:right w:type="dxa" w:w="120"/>
            </w:tcMar>
          </w:tcPr>
          <w:p>
            <w:pPr>
              <w:spacing w:after="40"/>
              <w:jc w:val="center"/>
            </w:pPr>
            <w:r>
              <w:rPr>
                <w:rFonts w:ascii="Cambria" w:cs="Cambria" w:eastAsia="Cambria" w:hAnsi="Cambria"/>
                <w:b/>
                <w:bCs/>
                <w:color w:val="12233B"/>
                <w:sz w:val="34"/>
                <w:szCs w:val="34"/>
              </w:rPr>
              <w:t xml:space="preserve">15,948</w:t>
            </w:r>
          </w:p>
          <w:p>
            <w:pPr>
              <w:jc w:val="center"/>
            </w:pPr>
            <w:r>
              <w:rPr>
                <w:rFonts w:ascii="Calibri" w:cs="Calibri" w:eastAsia="Calibri" w:hAnsi="Calibri"/>
                <w:caps/>
                <w:color w:val="5B6472"/>
                <w:spacing w:val="12"/>
                <w:sz w:val="16"/>
                <w:szCs w:val="16"/>
              </w:rPr>
              <w:t xml:space="preserve">Patients Adopted</w:t>
            </w:r>
          </w:p>
        </w:tc>
      </w:tr>
    </w:tbl>
    <w:p>
      <w:pPr>
        <w:spacing w:after="360"/>
      </w:pPr>
    </w:p>
    <w:p>
      <w:pPr>
        <w:spacing w:after="100" w:before="220"/>
      </w:pPr>
      <w:r>
        <w:rPr>
          <w:rFonts w:ascii="Cambria" w:cs="Cambria" w:eastAsia="Cambria" w:hAnsi="Cambria"/>
          <w:b/>
          <w:bCs/>
          <w:color w:val="12233B"/>
          <w:sz w:val="23"/>
          <w:szCs w:val="23"/>
        </w:rPr>
        <w:t xml:space="preserve">Executive Summary</w:t>
      </w:r>
    </w:p>
    <w:tbl>
      <w:tblPr>
        <w:tblW w:type="dxa" w:w="10080"/>
        <w:tblBorders>
          <w:top w:val="none" w:color="FFFFFF" w:sz="0"/>
          <w:left w:val="single" w:color="B8842E" w:sz="28"/>
          <w:bottom w:val="none" w:color="FFFFFF" w:sz="0"/>
          <w:right w:val="none" w:color="FFFFFF" w:sz="0"/>
          <w:insideH w:val="none" w:color="FFFFFF" w:sz="0"/>
          <w:insideV w:val="none" w:color="FFFFFF" w:sz="0"/>
        </w:tblBorders>
        <w:tblLayout w:type="fixed"/>
      </w:tblPr>
      <w:tblGrid>
        <w:gridCol w:w="10080"/>
      </w:tblGrid>
      <w:tr>
        <w:tc>
          <w:tcPr>
            <w:tcW w:type="dxa" w:w="10080"/>
            <w:shd w:fill="F7F6F2" w:color="auto" w:val="clear"/>
            <w:tcMar>
              <w:top w:type="dxa" w:w="220"/>
              <w:left w:type="dxa" w:w="260"/>
              <w:bottom w:type="dxa" w:w="220"/>
              <w:right w:type="dxa" w:w="260"/>
            </w:tcMar>
          </w:tcPr>
          <w:p>
            <w:pPr>
              <w:spacing w:line="300"/>
            </w:pPr>
            <w:r>
              <w:rPr>
                <w:rFonts w:ascii="Calibri" w:cs="Calibri" w:eastAsia="Calibri" w:hAnsi="Calibri"/>
                <w:color w:val="2B2E33"/>
                <w:sz w:val="21"/>
                <w:szCs w:val="21"/>
              </w:rPr>
              <w:t xml:space="preserve">A new heart-and-metabolism drug (“NovaCard”) was being prescribed by only 10.2% of doctors, even though the company was spending heavily to make it available. Using data on 800 doctors, we split them into three clear groups, used a machine-learning model to find what really drives prescribing, and turned that into a clear action plan. </w:t>
            </w:r>
            <w:r>
              <w:rPr>
                <w:rFonts w:ascii="Calibri" w:cs="Calibri" w:eastAsia="Calibri" w:hAnsi="Calibri"/>
                <w:color w:val="2B2E33"/>
                <w:sz w:val="21"/>
                <w:szCs w:val="21"/>
              </w:rPr>
              <w:t xml:space="preserve">The core insight reframes the problem: </w:t>
            </w:r>
            <w:r>
              <w:rPr>
                <w:rFonts w:ascii="Calibri" w:cs="Calibri" w:eastAsia="Calibri" w:hAnsi="Calibri"/>
                <w:b/>
                <w:bCs/>
                <w:color w:val="12233B"/>
                <w:sz w:val="21"/>
                <w:szCs w:val="21"/>
              </w:rPr>
              <w:t xml:space="preserve">the biggest group of doctors isn’t skipping the drug because they don’t know about it — it’s because the drug is too costly or hard to get for their patients.</w:t>
            </w:r>
            <w:r>
              <w:rPr>
                <w:rFonts w:ascii="Calibri" w:cs="Calibri" w:eastAsia="Calibri" w:hAnsi="Calibri"/>
                <w:color w:val="2B2E33"/>
                <w:sz w:val="21"/>
                <w:szCs w:val="21"/>
              </w:rPr>
              <w:t xml:space="preserve"> The smartest move is to focus first on a smaller group that is ready to prescribe but under-reached, and fix the cost problem before spending more on the rest.</w:t>
            </w:r>
          </w:p>
        </w:tc>
      </w:tr>
    </w:tbl>
    <w:p>
      <w:r>
        <w:br w:type="page"/>
      </w:r>
    </w:p>
    <w:p>
      <w:pPr>
        <w:pBdr>
          <w:bottom w:val="single" w:color="DAD7CC" w:sz="6" w:space="6"/>
        </w:pBdr>
        <w:spacing w:after="200" w:before="420"/>
      </w:pPr>
      <w:r>
        <w:rPr>
          <w:rFonts w:ascii="Cambria" w:cs="Cambria" w:eastAsia="Cambria" w:hAnsi="Cambria"/>
          <w:b/>
          <w:bCs/>
          <w:color w:val="B8842E"/>
          <w:sz w:val="27"/>
          <w:szCs w:val="27"/>
        </w:rPr>
        <w:t xml:space="preserve">01  </w:t>
      </w:r>
      <w:r>
        <w:rPr>
          <w:rFonts w:ascii="Cambria" w:cs="Cambria" w:eastAsia="Cambria" w:hAnsi="Cambria"/>
          <w:b/>
          <w:bCs/>
          <w:color w:val="12233B"/>
          <w:sz w:val="27"/>
          <w:szCs w:val="27"/>
        </w:rPr>
        <w:t xml:space="preserve">Business Context &amp; Problem</w:t>
      </w:r>
    </w:p>
    <w:p>
      <w:pPr>
        <w:spacing w:after="160" w:line="300"/>
      </w:pPr>
      <w:r>
        <w:rPr>
          <w:rFonts w:ascii="Calibri" w:cs="Calibri" w:eastAsia="Calibri" w:hAnsi="Calibri"/>
          <w:color w:val="2B2E33"/>
          <w:sz w:val="21"/>
          <w:szCs w:val="21"/>
        </w:rPr>
        <w:t xml:space="preserve">Pharma sales teams have limited resources — sales-rep time, digital campaigns, and support to get the drug covered by insurance. The key question is simple: which doctors should the team focus on to grow the drug fastest? Reaching every doctor wastes money on people who will never prescribe, and misses the ones who are already ready.</w:t>
      </w:r>
    </w:p>
    <w:p>
      <w:pPr>
        <w:spacing w:after="160" w:line="300"/>
      </w:pPr>
      <w:r>
        <w:rPr>
          <w:rFonts w:ascii="Calibri" w:cs="Calibri" w:eastAsia="Calibri" w:hAnsi="Calibri"/>
          <w:color w:val="2B2E33"/>
          <w:sz w:val="21"/>
          <w:szCs w:val="21"/>
        </w:rPr>
        <w:t xml:space="preserve">The company needed a clear, data-backed way to group its doctors and decide where to spend next.</w:t>
      </w:r>
    </w:p>
    <w:tbl>
      <w:tblPr>
        <w:tblW w:type="dxa" w:w="10080"/>
        <w:tblBorders>
          <w:top w:val="none" w:color="FFFFFF" w:sz="0"/>
          <w:left w:val="single" w:color="1F7A6C" w:sz="28"/>
          <w:bottom w:val="none" w:color="FFFFFF" w:sz="0"/>
          <w:right w:val="none" w:color="FFFFFF" w:sz="0"/>
          <w:insideH w:val="none" w:color="FFFFFF" w:sz="0"/>
          <w:insideV w:val="none" w:color="FFFFFF" w:sz="0"/>
        </w:tblBorders>
        <w:tblLayout w:type="fixed"/>
      </w:tblPr>
      <w:tblGrid>
        <w:gridCol w:w="10080"/>
      </w:tblGrid>
      <w:tr>
        <w:tc>
          <w:tcPr>
            <w:tcW w:type="dxa" w:w="10080"/>
            <w:shd w:fill="E4F0EC" w:color="auto" w:val="clear"/>
            <w:tcMar>
              <w:top w:type="dxa" w:w="220"/>
              <w:left w:type="dxa" w:w="260"/>
              <w:bottom w:type="dxa" w:w="220"/>
              <w:right w:type="dxa" w:w="260"/>
            </w:tcMar>
          </w:tcPr>
          <w:p>
            <w:r>
              <w:rPr>
                <w:rFonts w:ascii="Calibri" w:cs="Calibri" w:eastAsia="Calibri" w:hAnsi="Calibri"/>
                <w:b/>
                <w:bCs/>
                <w:color w:val="1F7A6C"/>
                <w:sz w:val="21"/>
                <w:szCs w:val="21"/>
              </w:rPr>
              <w:t xml:space="preserve">Objective:  </w:t>
            </w:r>
            <w:r>
              <w:rPr>
                <w:rFonts w:ascii="Calibri" w:cs="Calibri" w:eastAsia="Calibri" w:hAnsi="Calibri"/>
                <w:color w:val="2B2E33"/>
                <w:sz w:val="21"/>
                <w:szCs w:val="21"/>
              </w:rPr>
              <w:t xml:space="preserve">Group the doctors, find out what makes them prescribe, and recommend where to focus limited resources for the most prescriptions per dollar spent.</w:t>
            </w:r>
          </w:p>
        </w:tc>
      </w:tr>
    </w:tbl>
    <w:p>
      <w:pPr>
        <w:pBdr>
          <w:bottom w:val="single" w:color="DAD7CC" w:sz="6" w:space="6"/>
        </w:pBdr>
        <w:spacing w:after="200" w:before="420"/>
      </w:pPr>
      <w:r>
        <w:rPr>
          <w:rFonts w:ascii="Cambria" w:cs="Cambria" w:eastAsia="Cambria" w:hAnsi="Cambria"/>
          <w:b/>
          <w:bCs/>
          <w:color w:val="B8842E"/>
          <w:sz w:val="27"/>
          <w:szCs w:val="27"/>
        </w:rPr>
        <w:t xml:space="preserve">02  </w:t>
      </w:r>
      <w:r>
        <w:rPr>
          <w:rFonts w:ascii="Cambria" w:cs="Cambria" w:eastAsia="Cambria" w:hAnsi="Cambria"/>
          <w:b/>
          <w:bCs/>
          <w:color w:val="12233B"/>
          <w:sz w:val="27"/>
          <w:szCs w:val="27"/>
        </w:rPr>
        <w:t xml:space="preserve">Data</w:t>
      </w:r>
    </w:p>
    <w:p>
      <w:pPr>
        <w:spacing w:after="160" w:line="300"/>
      </w:pPr>
      <w:r>
        <w:rPr>
          <w:rFonts w:ascii="Calibri" w:cs="Calibri" w:eastAsia="Calibri" w:hAnsi="Calibri"/>
          <w:color w:val="2B2E33"/>
          <w:sz w:val="21"/>
          <w:szCs w:val="21"/>
        </w:rPr>
        <w:t xml:space="preserve">The analysis uses a synthetic dataset of 800 doctors, built to behave like real pharma data. Real doctor-prescription data is hard to obtain and usually locked behind licenses, so the dataset was built with realistic patterns: doctors prescribe more when reps visit them, when they are active online, and when their peers prescribe — and less when the drug costs their patients more or when they are loyal to a rival drug. Keeping the data synthetic is a deliberate choice: it demonstrates the full method transparently, without claiming access to private company data.</w:t>
      </w:r>
    </w:p>
    <w:p>
      <w:pPr>
        <w:spacing w:after="160" w:line="300"/>
      </w:pPr>
      <w:r>
        <w:rPr>
          <w:rFonts w:ascii="Calibri" w:cs="Calibri" w:eastAsia="Calibri" w:hAnsi="Calibri"/>
          <w:color w:val="2B2E33"/>
          <w:sz w:val="21"/>
          <w:szCs w:val="21"/>
        </w:rPr>
        <w:t xml:space="preserve">Key fields: specialty, region, patient panel size, % of patients on Medicare (a cost-sensitivity signal), formulary tier (how easily the drug is covered), rep visit frequency, digital-engagement score, peer-influence score, competitor-loyalty score, patient out-of-pocket cost, and prescribing status.</w:t>
      </w:r>
    </w:p>
    <w:p>
      <w:pPr>
        <w:pBdr>
          <w:bottom w:val="single" w:color="DAD7CC" w:sz="6" w:space="6"/>
        </w:pBdr>
        <w:spacing w:after="200" w:before="420"/>
      </w:pPr>
      <w:r>
        <w:rPr>
          <w:rFonts w:ascii="Cambria" w:cs="Cambria" w:eastAsia="Cambria" w:hAnsi="Cambria"/>
          <w:b/>
          <w:bCs/>
          <w:color w:val="B8842E"/>
          <w:sz w:val="27"/>
          <w:szCs w:val="27"/>
        </w:rPr>
        <w:t xml:space="preserve">03  </w:t>
      </w:r>
      <w:r>
        <w:rPr>
          <w:rFonts w:ascii="Cambria" w:cs="Cambria" w:eastAsia="Cambria" w:hAnsi="Cambria"/>
          <w:b/>
          <w:bCs/>
          <w:color w:val="12233B"/>
          <w:sz w:val="27"/>
          <w:szCs w:val="27"/>
        </w:rPr>
        <w:t xml:space="preserve">Approach</w:t>
      </w:r>
    </w:p>
    <w:p>
      <w:pPr>
        <w:spacing w:after="140" w:line="300"/>
      </w:pPr>
      <w:r>
        <w:rPr>
          <w:rFonts w:ascii="Calibri" w:cs="Calibri" w:eastAsia="Calibri" w:hAnsi="Calibri"/>
          <w:b/>
          <w:bCs/>
          <w:color w:val="12233B"/>
          <w:sz w:val="21"/>
          <w:szCs w:val="21"/>
        </w:rPr>
        <w:t xml:space="preserve">Grouping the doctors — </w:t>
      </w:r>
      <w:r>
        <w:rPr>
          <w:rFonts w:ascii="Calibri" w:cs="Calibri" w:eastAsia="Calibri" w:hAnsi="Calibri"/>
          <w:color w:val="2B2E33"/>
          <w:sz w:val="21"/>
          <w:szCs w:val="21"/>
        </w:rPr>
        <w:t xml:space="preserve">K-Means clustering grouped doctors by six behaviors (rep visits, online activity, peer influence, competitor loyalty, patient cost, and drug coverage), then each group was studied and given a plain-English name.</w:t>
      </w:r>
    </w:p>
    <w:p>
      <w:pPr>
        <w:spacing w:after="140" w:line="300"/>
      </w:pPr>
      <w:r>
        <w:rPr>
          <w:rFonts w:ascii="Calibri" w:cs="Calibri" w:eastAsia="Calibri" w:hAnsi="Calibri"/>
          <w:b/>
          <w:bCs/>
          <w:color w:val="12233B"/>
          <w:sz w:val="21"/>
          <w:szCs w:val="21"/>
        </w:rPr>
        <w:t xml:space="preserve">Finding what drives prescribing — </w:t>
      </w:r>
      <w:r>
        <w:rPr>
          <w:rFonts w:ascii="Calibri" w:cs="Calibri" w:eastAsia="Calibri" w:hAnsi="Calibri"/>
          <w:color w:val="2B2E33"/>
          <w:sz w:val="21"/>
          <w:szCs w:val="21"/>
        </w:rPr>
        <w:t xml:space="preserve">Two models — logistic regression and Random Forest — were trained to separate prescribers from non-prescribers (accuracy 0.81 and 0.75). Using two models is a cross-check: both agree on the top drivers, so the result isn’t an artifact of one method.</w:t>
      </w:r>
    </w:p>
    <w:p>
      <w:pPr>
        <w:spacing w:after="100" w:line="300"/>
      </w:pPr>
      <w:r>
        <w:rPr>
          <w:rFonts w:ascii="Calibri" w:cs="Calibri" w:eastAsia="Calibri" w:hAnsi="Calibri"/>
          <w:b/>
          <w:bCs/>
          <w:color w:val="12233B"/>
          <w:sz w:val="21"/>
          <w:szCs w:val="21"/>
        </w:rPr>
        <w:t xml:space="preserve">Deciding where to focus — </w:t>
      </w:r>
      <w:r>
        <w:rPr>
          <w:rFonts w:ascii="Calibri" w:cs="Calibri" w:eastAsia="Calibri" w:hAnsi="Calibri"/>
          <w:color w:val="2B2E33"/>
          <w:sz w:val="21"/>
          <w:szCs w:val="21"/>
        </w:rPr>
        <w:t xml:space="preserve">Plotting the groups on market size vs. current prescribing makes the trade-off — a big untapped group vs. an easy-to-win group — clear at a glance.</w:t>
      </w:r>
    </w:p>
    <w:p>
      <w:pPr>
        <w:spacing w:after="0" w:before="16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133600"/>
                    </a:xfrm>
                    <a:prstGeom prst="rect">
                      <a:avLst/>
                    </a:prstGeom>
                  </pic:spPr>
                </pic:pic>
              </a:graphicData>
            </a:graphic>
          </wp:inline>
        </w:drawing>
      </w:r>
    </w:p>
    <w:p>
      <w:pPr>
        <w:spacing w:after="320" w:before="100"/>
        <w:jc w:val="center"/>
      </w:pPr>
      <w:r>
        <w:rPr>
          <w:rFonts w:ascii="Calibri" w:cs="Calibri" w:eastAsia="Calibri" w:hAnsi="Calibri"/>
          <w:i/>
          <w:iCs/>
          <w:color w:val="5B6472"/>
          <w:sz w:val="18"/>
          <w:szCs w:val="18"/>
        </w:rPr>
        <w:t xml:space="preserve">Figure 1. Prescription rate by doctor group. Advocates and White Space prescribe at roughly 3x the Access-Constrained rate.</w:t>
      </w:r>
    </w:p>
    <w:p>
      <w:pPr>
        <w:pBdr>
          <w:bottom w:val="single" w:color="DAD7CC" w:sz="6" w:space="6"/>
        </w:pBdr>
        <w:spacing w:after="200" w:before="420"/>
      </w:pPr>
      <w:r>
        <w:rPr>
          <w:rFonts w:ascii="Cambria" w:cs="Cambria" w:eastAsia="Cambria" w:hAnsi="Cambria"/>
          <w:b/>
          <w:bCs/>
          <w:color w:val="B8842E"/>
          <w:sz w:val="27"/>
          <w:szCs w:val="27"/>
        </w:rPr>
        <w:t xml:space="preserve">04  </w:t>
      </w:r>
      <w:r>
        <w:rPr>
          <w:rFonts w:ascii="Cambria" w:cs="Cambria" w:eastAsia="Cambria" w:hAnsi="Cambria"/>
          <w:b/>
          <w:bCs/>
          <w:color w:val="12233B"/>
          <w:sz w:val="27"/>
          <w:szCs w:val="27"/>
        </w:rPr>
        <w:t xml:space="preserve">Findings</w:t>
      </w:r>
    </w:p>
    <w:p>
      <w:pPr>
        <w:spacing w:after="160" w:line="300"/>
      </w:pPr>
      <w:r>
        <w:rPr>
          <w:rFonts w:ascii="Calibri" w:cs="Calibri" w:eastAsia="Calibri" w:hAnsi="Calibri"/>
          <w:color w:val="2B2E33"/>
          <w:sz w:val="21"/>
          <w:szCs w:val="21"/>
        </w:rPr>
        <w:t xml:space="preserve">Three clear, useful groups came out of the data:</w:t>
      </w:r>
    </w:p>
    <w:p>
      <w:pPr>
        <w:spacing w:after="80"/>
      </w:pPr>
    </w:p>
    <w:tbl>
      <w:tblPr>
        <w:tblW w:type="dxa" w:w="10080"/>
        <w:tblBorders>
          <w:top w:val="single" w:color="DAD7CC" w:sz="4"/>
          <w:left w:val="single" w:color="DAD7CC" w:sz="4"/>
          <w:bottom w:val="single" w:color="DAD7CC" w:sz="4"/>
          <w:right w:val="single" w:color="DAD7CC" w:sz="4"/>
          <w:insideH w:val="single" w:color="DAD7CC" w:sz="4"/>
          <w:insideV w:val="single" w:color="DAD7CC" w:sz="4"/>
        </w:tblBorders>
        <w:tblLayout w:type="fixed"/>
      </w:tblPr>
      <w:tblGrid>
        <w:gridCol w:w="140"/>
        <w:gridCol w:w="2000"/>
        <w:gridCol w:w="1000"/>
        <w:gridCol w:w="1300"/>
        <w:gridCol w:w="1500"/>
        <w:gridCol w:w="4140"/>
      </w:tblGrid>
      <w:tr>
        <w:tc>
          <w:tcPr>
            <w:tcW w:type="dxa" w:w="140"/>
            <w:shd w:fill="12233B" w:color="auto" w:val="clear"/>
          </w:tcPr>
          <w:p/>
        </w:tc>
        <w:tc>
          <w:tcPr>
            <w:tcW w:type="dxa" w:w="2000"/>
            <w:shd w:fill="12233B" w:color="auto" w:val="clear"/>
            <w:tcMar>
              <w:top w:type="dxa" w:w="140"/>
              <w:left w:type="dxa" w:w="140"/>
              <w:bottom w:type="dxa" w:w="140"/>
              <w:right w:type="dxa" w:w="140"/>
            </w:tcMar>
            <w:vAlign w:val="center"/>
          </w:tcPr>
          <w:p>
            <w:pPr>
              <w:jc w:val="left"/>
            </w:pPr>
            <w:r>
              <w:rPr>
                <w:rFonts w:ascii="Cambria" w:cs="Cambria" w:eastAsia="Cambria" w:hAnsi="Cambria"/>
                <w:b/>
                <w:bCs/>
                <w:caps/>
                <w:color w:val="FFFFFF"/>
                <w:sz w:val="18"/>
                <w:szCs w:val="18"/>
              </w:rPr>
              <w:t xml:space="preserve">Group</w:t>
            </w:r>
          </w:p>
        </w:tc>
        <w:tc>
          <w:tcPr>
            <w:tcW w:type="dxa" w:w="1000"/>
            <w:shd w:fill="12233B" w:color="auto" w:val="clear"/>
            <w:tcMar>
              <w:top w:type="dxa" w:w="140"/>
              <w:left w:type="dxa" w:w="140"/>
              <w:bottom w:type="dxa" w:w="140"/>
              <w:right w:type="dxa" w:w="140"/>
            </w:tcMar>
            <w:vAlign w:val="center"/>
          </w:tcPr>
          <w:p>
            <w:pPr>
              <w:jc w:val="center"/>
            </w:pPr>
            <w:r>
              <w:rPr>
                <w:rFonts w:ascii="Cambria" w:cs="Cambria" w:eastAsia="Cambria" w:hAnsi="Cambria"/>
                <w:b/>
                <w:bCs/>
                <w:caps/>
                <w:color w:val="FFFFFF"/>
                <w:sz w:val="18"/>
                <w:szCs w:val="18"/>
              </w:rPr>
              <w:t xml:space="preserve">Drs</w:t>
            </w:r>
          </w:p>
        </w:tc>
        <w:tc>
          <w:tcPr>
            <w:tcW w:type="dxa" w:w="1300"/>
            <w:shd w:fill="12233B" w:color="auto" w:val="clear"/>
            <w:tcMar>
              <w:top w:type="dxa" w:w="140"/>
              <w:left w:type="dxa" w:w="140"/>
              <w:bottom w:type="dxa" w:w="140"/>
              <w:right w:type="dxa" w:w="140"/>
            </w:tcMar>
            <w:vAlign w:val="center"/>
          </w:tcPr>
          <w:p>
            <w:pPr>
              <w:jc w:val="center"/>
            </w:pPr>
            <w:r>
              <w:rPr>
                <w:rFonts w:ascii="Cambria" w:cs="Cambria" w:eastAsia="Cambria" w:hAnsi="Cambria"/>
                <w:b/>
                <w:bCs/>
                <w:caps/>
                <w:color w:val="FFFFFF"/>
                <w:sz w:val="18"/>
                <w:szCs w:val="18"/>
              </w:rPr>
              <w:t xml:space="preserve">Rx Rate</w:t>
            </w:r>
          </w:p>
        </w:tc>
        <w:tc>
          <w:tcPr>
            <w:tcW w:type="dxa" w:w="1500"/>
            <w:shd w:fill="12233B" w:color="auto" w:val="clear"/>
            <w:tcMar>
              <w:top w:type="dxa" w:w="140"/>
              <w:left w:type="dxa" w:w="140"/>
              <w:bottom w:type="dxa" w:w="140"/>
              <w:right w:type="dxa" w:w="140"/>
            </w:tcMar>
            <w:vAlign w:val="center"/>
          </w:tcPr>
          <w:p>
            <w:pPr>
              <w:jc w:val="center"/>
            </w:pPr>
            <w:r>
              <w:rPr>
                <w:rFonts w:ascii="Cambria" w:cs="Cambria" w:eastAsia="Cambria" w:hAnsi="Cambria"/>
                <w:b/>
                <w:bCs/>
                <w:caps/>
                <w:color w:val="FFFFFF"/>
                <w:sz w:val="18"/>
                <w:szCs w:val="18"/>
              </w:rPr>
              <w:t xml:space="preserve">Eligible Pts</w:t>
            </w:r>
          </w:p>
        </w:tc>
        <w:tc>
          <w:tcPr>
            <w:tcW w:type="dxa" w:w="4140"/>
            <w:shd w:fill="12233B" w:color="auto" w:val="clear"/>
            <w:tcMar>
              <w:top w:type="dxa" w:w="140"/>
              <w:left w:type="dxa" w:w="140"/>
              <w:bottom w:type="dxa" w:w="140"/>
              <w:right w:type="dxa" w:w="140"/>
            </w:tcMar>
            <w:vAlign w:val="center"/>
          </w:tcPr>
          <w:p>
            <w:pPr>
              <w:jc w:val="left"/>
            </w:pPr>
            <w:r>
              <w:rPr>
                <w:rFonts w:ascii="Cambria" w:cs="Cambria" w:eastAsia="Cambria" w:hAnsi="Cambria"/>
                <w:b/>
                <w:bCs/>
                <w:caps/>
                <w:color w:val="FFFFFF"/>
                <w:sz w:val="18"/>
                <w:szCs w:val="18"/>
              </w:rPr>
              <w:t xml:space="preserve">What they look like</w:t>
            </w:r>
          </w:p>
        </w:tc>
      </w:tr>
      <w:tr>
        <w:tc>
          <w:tcPr>
            <w:tcW w:type="dxa" w:w="140"/>
            <w:shd w:fill="1F7A6C" w:color="auto" w:val="clear"/>
          </w:tcPr>
          <w:p/>
        </w:tc>
        <w:tc>
          <w:tcPr>
            <w:tcW w:type="dxa" w:w="2000"/>
            <w:shd w:fill="FFFFFF" w:color="auto" w:val="clear"/>
            <w:tcMar>
              <w:top w:type="dxa" w:w="140"/>
              <w:left w:type="dxa" w:w="140"/>
              <w:bottom w:type="dxa" w:w="140"/>
              <w:right w:type="dxa" w:w="140"/>
            </w:tcMar>
            <w:vAlign w:val="center"/>
          </w:tcPr>
          <w:p>
            <w:pPr>
              <w:jc w:val="left"/>
            </w:pPr>
            <w:r>
              <w:rPr>
                <w:rFonts w:ascii="Calibri" w:cs="Calibri" w:eastAsia="Calibri" w:hAnsi="Calibri"/>
                <w:b/>
                <w:bCs/>
                <w:caps w:val="false"/>
                <w:color w:val="2B2E33"/>
                <w:sz w:val="19"/>
                <w:szCs w:val="19"/>
              </w:rPr>
              <w:t xml:space="preserve">Advocates</w:t>
            </w:r>
          </w:p>
        </w:tc>
        <w:tc>
          <w:tcPr>
            <w:tcW w:type="dxa" w:w="1000"/>
            <w:shd w:fill="FFFFFF" w:color="auto" w:val="clear"/>
            <w:tcMar>
              <w:top w:type="dxa" w:w="140"/>
              <w:left w:type="dxa" w:w="140"/>
              <w:bottom w:type="dxa" w:w="140"/>
              <w:right w:type="dxa" w:w="140"/>
            </w:tcMar>
            <w:vAlign w:val="center"/>
          </w:tcPr>
          <w:p>
            <w:pPr>
              <w:jc w:val="center"/>
            </w:pPr>
            <w:r>
              <w:rPr>
                <w:rFonts w:ascii="Calibri" w:cs="Calibri" w:eastAsia="Calibri" w:hAnsi="Calibri"/>
                <w:caps w:val="false"/>
                <w:color w:val="2B2E33"/>
                <w:sz w:val="19"/>
                <w:szCs w:val="19"/>
              </w:rPr>
              <w:t xml:space="preserve">176</w:t>
            </w:r>
          </w:p>
        </w:tc>
        <w:tc>
          <w:tcPr>
            <w:tcW w:type="dxa" w:w="1300"/>
            <w:shd w:fill="FFFFFF" w:color="auto" w:val="clear"/>
            <w:tcMar>
              <w:top w:type="dxa" w:w="140"/>
              <w:left w:type="dxa" w:w="140"/>
              <w:bottom w:type="dxa" w:w="140"/>
              <w:right w:type="dxa" w:w="140"/>
            </w:tcMar>
            <w:vAlign w:val="center"/>
          </w:tcPr>
          <w:p>
            <w:pPr>
              <w:jc w:val="center"/>
            </w:pPr>
            <w:r>
              <w:rPr>
                <w:rFonts w:ascii="Calibri" w:cs="Calibri" w:eastAsia="Calibri" w:hAnsi="Calibri"/>
                <w:b/>
                <w:bCs/>
                <w:caps w:val="false"/>
                <w:color w:val="2B2E33"/>
                <w:sz w:val="19"/>
                <w:szCs w:val="19"/>
              </w:rPr>
              <w:t xml:space="preserve">17.0%</w:t>
            </w:r>
          </w:p>
        </w:tc>
        <w:tc>
          <w:tcPr>
            <w:tcW w:type="dxa" w:w="1500"/>
            <w:shd w:fill="FFFFFF" w:color="auto" w:val="clear"/>
            <w:tcMar>
              <w:top w:type="dxa" w:w="140"/>
              <w:left w:type="dxa" w:w="140"/>
              <w:bottom w:type="dxa" w:w="140"/>
              <w:right w:type="dxa" w:w="140"/>
            </w:tcMar>
            <w:vAlign w:val="center"/>
          </w:tcPr>
          <w:p>
            <w:pPr>
              <w:jc w:val="center"/>
            </w:pPr>
            <w:r>
              <w:rPr>
                <w:rFonts w:ascii="Calibri" w:cs="Calibri" w:eastAsia="Calibri" w:hAnsi="Calibri"/>
                <w:caps w:val="false"/>
                <w:color w:val="2B2E33"/>
                <w:sz w:val="19"/>
                <w:szCs w:val="19"/>
              </w:rPr>
              <w:t xml:space="preserve">32,625</w:t>
            </w:r>
          </w:p>
        </w:tc>
        <w:tc>
          <w:tcPr>
            <w:tcW w:type="dxa" w:w="4140"/>
            <w:shd w:fill="FFFFFF" w:color="auto" w:val="clear"/>
            <w:tcMar>
              <w:top w:type="dxa" w:w="140"/>
              <w:left w:type="dxa" w:w="140"/>
              <w:bottom w:type="dxa" w:w="140"/>
              <w:right w:type="dxa" w:w="140"/>
            </w:tcMar>
            <w:vAlign w:val="center"/>
          </w:tcPr>
          <w:p>
            <w:pPr>
              <w:jc w:val="left"/>
            </w:pPr>
            <w:r>
              <w:rPr>
                <w:rFonts w:ascii="Calibri" w:cs="Calibri" w:eastAsia="Calibri" w:hAnsi="Calibri"/>
                <w:caps w:val="false"/>
                <w:color w:val="2B2E33"/>
                <w:sz w:val="19"/>
                <w:szCs w:val="19"/>
              </w:rPr>
              <w:t xml:space="preserve">Reps visit often, drug is easy to cover; already prescribing.</w:t>
            </w:r>
          </w:p>
        </w:tc>
      </w:tr>
      <w:tr>
        <w:tc>
          <w:tcPr>
            <w:tcW w:type="dxa" w:w="140"/>
            <w:shd w:fill="B8842E" w:color="auto" w:val="clear"/>
          </w:tcPr>
          <w:p/>
        </w:tc>
        <w:tc>
          <w:tcPr>
            <w:tcW w:type="dxa" w:w="2000"/>
            <w:shd w:fill="FFFFFF" w:color="auto" w:val="clear"/>
            <w:tcMar>
              <w:top w:type="dxa" w:w="140"/>
              <w:left w:type="dxa" w:w="140"/>
              <w:bottom w:type="dxa" w:w="140"/>
              <w:right w:type="dxa" w:w="140"/>
            </w:tcMar>
            <w:vAlign w:val="center"/>
          </w:tcPr>
          <w:p>
            <w:pPr>
              <w:jc w:val="left"/>
            </w:pPr>
            <w:r>
              <w:rPr>
                <w:rFonts w:ascii="Calibri" w:cs="Calibri" w:eastAsia="Calibri" w:hAnsi="Calibri"/>
                <w:b/>
                <w:bCs/>
                <w:caps w:val="false"/>
                <w:color w:val="2B2E33"/>
                <w:sz w:val="19"/>
                <w:szCs w:val="19"/>
              </w:rPr>
              <w:t xml:space="preserve">White Space</w:t>
            </w:r>
          </w:p>
        </w:tc>
        <w:tc>
          <w:tcPr>
            <w:tcW w:type="dxa" w:w="1000"/>
            <w:shd w:fill="FFFFFF" w:color="auto" w:val="clear"/>
            <w:tcMar>
              <w:top w:type="dxa" w:w="140"/>
              <w:left w:type="dxa" w:w="140"/>
              <w:bottom w:type="dxa" w:w="140"/>
              <w:right w:type="dxa" w:w="140"/>
            </w:tcMar>
            <w:vAlign w:val="center"/>
          </w:tcPr>
          <w:p>
            <w:pPr>
              <w:jc w:val="center"/>
            </w:pPr>
            <w:r>
              <w:rPr>
                <w:rFonts w:ascii="Calibri" w:cs="Calibri" w:eastAsia="Calibri" w:hAnsi="Calibri"/>
                <w:caps w:val="false"/>
                <w:color w:val="2B2E33"/>
                <w:sz w:val="19"/>
                <w:szCs w:val="19"/>
              </w:rPr>
              <w:t xml:space="preserve">203</w:t>
            </w:r>
          </w:p>
        </w:tc>
        <w:tc>
          <w:tcPr>
            <w:tcW w:type="dxa" w:w="1300"/>
            <w:shd w:fill="FFFFFF" w:color="auto" w:val="clear"/>
            <w:tcMar>
              <w:top w:type="dxa" w:w="140"/>
              <w:left w:type="dxa" w:w="140"/>
              <w:bottom w:type="dxa" w:w="140"/>
              <w:right w:type="dxa" w:w="140"/>
            </w:tcMar>
            <w:vAlign w:val="center"/>
          </w:tcPr>
          <w:p>
            <w:pPr>
              <w:jc w:val="center"/>
            </w:pPr>
            <w:r>
              <w:rPr>
                <w:rFonts w:ascii="Calibri" w:cs="Calibri" w:eastAsia="Calibri" w:hAnsi="Calibri"/>
                <w:b/>
                <w:bCs/>
                <w:caps w:val="false"/>
                <w:color w:val="2B2E33"/>
                <w:sz w:val="19"/>
                <w:szCs w:val="19"/>
              </w:rPr>
              <w:t xml:space="preserve">16.3%</w:t>
            </w:r>
          </w:p>
        </w:tc>
        <w:tc>
          <w:tcPr>
            <w:tcW w:type="dxa" w:w="1500"/>
            <w:shd w:fill="FFFFFF" w:color="auto" w:val="clear"/>
            <w:tcMar>
              <w:top w:type="dxa" w:w="140"/>
              <w:left w:type="dxa" w:w="140"/>
              <w:bottom w:type="dxa" w:w="140"/>
              <w:right w:type="dxa" w:w="140"/>
            </w:tcMar>
            <w:vAlign w:val="center"/>
          </w:tcPr>
          <w:p>
            <w:pPr>
              <w:jc w:val="center"/>
            </w:pPr>
            <w:r>
              <w:rPr>
                <w:rFonts w:ascii="Calibri" w:cs="Calibri" w:eastAsia="Calibri" w:hAnsi="Calibri"/>
                <w:caps w:val="false"/>
                <w:color w:val="2B2E33"/>
                <w:sz w:val="19"/>
                <w:szCs w:val="19"/>
              </w:rPr>
              <w:t xml:space="preserve">36,268</w:t>
            </w:r>
          </w:p>
        </w:tc>
        <w:tc>
          <w:tcPr>
            <w:tcW w:type="dxa" w:w="4140"/>
            <w:shd w:fill="FFFFFF" w:color="auto" w:val="clear"/>
            <w:tcMar>
              <w:top w:type="dxa" w:w="140"/>
              <w:left w:type="dxa" w:w="140"/>
              <w:bottom w:type="dxa" w:w="140"/>
              <w:right w:type="dxa" w:w="140"/>
            </w:tcMar>
            <w:vAlign w:val="center"/>
          </w:tcPr>
          <w:p>
            <w:pPr>
              <w:jc w:val="left"/>
            </w:pPr>
            <w:r>
              <w:rPr>
                <w:rFonts w:ascii="Calibri" w:cs="Calibri" w:eastAsia="Calibri" w:hAnsi="Calibri"/>
                <w:caps w:val="false"/>
                <w:color w:val="2B2E33"/>
                <w:sz w:val="19"/>
                <w:szCs w:val="19"/>
              </w:rPr>
              <w:t xml:space="preserve">Easy coverage and strong peer influence, but reps rarely visit (~2 visits/quarter).</w:t>
            </w:r>
          </w:p>
        </w:tc>
      </w:tr>
      <w:tr>
        <w:tc>
          <w:tcPr>
            <w:tcW w:type="dxa" w:w="140"/>
            <w:shd w:fill="C14A32" w:color="auto" w:val="clear"/>
          </w:tcPr>
          <w:p/>
        </w:tc>
        <w:tc>
          <w:tcPr>
            <w:tcW w:type="dxa" w:w="2000"/>
            <w:shd w:fill="FFFFFF" w:color="auto" w:val="clear"/>
            <w:tcMar>
              <w:top w:type="dxa" w:w="140"/>
              <w:left w:type="dxa" w:w="140"/>
              <w:bottom w:type="dxa" w:w="140"/>
              <w:right w:type="dxa" w:w="140"/>
            </w:tcMar>
            <w:vAlign w:val="center"/>
          </w:tcPr>
          <w:p>
            <w:pPr>
              <w:jc w:val="left"/>
            </w:pPr>
            <w:r>
              <w:rPr>
                <w:rFonts w:ascii="Calibri" w:cs="Calibri" w:eastAsia="Calibri" w:hAnsi="Calibri"/>
                <w:b/>
                <w:bCs/>
                <w:caps w:val="false"/>
                <w:color w:val="2B2E33"/>
                <w:sz w:val="19"/>
                <w:szCs w:val="19"/>
              </w:rPr>
              <w:t xml:space="preserve">Access-Constrained</w:t>
            </w:r>
          </w:p>
        </w:tc>
        <w:tc>
          <w:tcPr>
            <w:tcW w:type="dxa" w:w="1000"/>
            <w:shd w:fill="FFFFFF" w:color="auto" w:val="clear"/>
            <w:tcMar>
              <w:top w:type="dxa" w:w="140"/>
              <w:left w:type="dxa" w:w="140"/>
              <w:bottom w:type="dxa" w:w="140"/>
              <w:right w:type="dxa" w:w="140"/>
            </w:tcMar>
            <w:vAlign w:val="center"/>
          </w:tcPr>
          <w:p>
            <w:pPr>
              <w:jc w:val="center"/>
            </w:pPr>
            <w:r>
              <w:rPr>
                <w:rFonts w:ascii="Calibri" w:cs="Calibri" w:eastAsia="Calibri" w:hAnsi="Calibri"/>
                <w:caps w:val="false"/>
                <w:color w:val="2B2E33"/>
                <w:sz w:val="19"/>
                <w:szCs w:val="19"/>
              </w:rPr>
              <w:t xml:space="preserve">421</w:t>
            </w:r>
          </w:p>
        </w:tc>
        <w:tc>
          <w:tcPr>
            <w:tcW w:type="dxa" w:w="1300"/>
            <w:shd w:fill="FFFFFF" w:color="auto" w:val="clear"/>
            <w:tcMar>
              <w:top w:type="dxa" w:w="140"/>
              <w:left w:type="dxa" w:w="140"/>
              <w:bottom w:type="dxa" w:w="140"/>
              <w:right w:type="dxa" w:w="140"/>
            </w:tcMar>
            <w:vAlign w:val="center"/>
          </w:tcPr>
          <w:p>
            <w:pPr>
              <w:jc w:val="center"/>
            </w:pPr>
            <w:r>
              <w:rPr>
                <w:rFonts w:ascii="Calibri" w:cs="Calibri" w:eastAsia="Calibri" w:hAnsi="Calibri"/>
                <w:b/>
                <w:bCs/>
                <w:caps w:val="false"/>
                <w:color w:val="2B2E33"/>
                <w:sz w:val="19"/>
                <w:szCs w:val="19"/>
              </w:rPr>
              <w:t xml:space="preserve">5.9%</w:t>
            </w:r>
          </w:p>
        </w:tc>
        <w:tc>
          <w:tcPr>
            <w:tcW w:type="dxa" w:w="1500"/>
            <w:shd w:fill="FFFFFF" w:color="auto" w:val="clear"/>
            <w:tcMar>
              <w:top w:type="dxa" w:w="140"/>
              <w:left w:type="dxa" w:w="140"/>
              <w:bottom w:type="dxa" w:w="140"/>
              <w:right w:type="dxa" w:w="140"/>
            </w:tcMar>
            <w:vAlign w:val="center"/>
          </w:tcPr>
          <w:p>
            <w:pPr>
              <w:jc w:val="center"/>
            </w:pPr>
            <w:r>
              <w:rPr>
                <w:rFonts w:ascii="Calibri" w:cs="Calibri" w:eastAsia="Calibri" w:hAnsi="Calibri"/>
                <w:caps w:val="false"/>
                <w:color w:val="2B2E33"/>
                <w:sz w:val="19"/>
                <w:szCs w:val="19"/>
              </w:rPr>
              <w:t xml:space="preserve">77,399</w:t>
            </w:r>
          </w:p>
        </w:tc>
        <w:tc>
          <w:tcPr>
            <w:tcW w:type="dxa" w:w="4140"/>
            <w:shd w:fill="FFFFFF" w:color="auto" w:val="clear"/>
            <w:tcMar>
              <w:top w:type="dxa" w:w="140"/>
              <w:left w:type="dxa" w:w="140"/>
              <w:bottom w:type="dxa" w:w="140"/>
              <w:right w:type="dxa" w:w="140"/>
            </w:tcMar>
            <w:vAlign w:val="center"/>
          </w:tcPr>
          <w:p>
            <w:pPr>
              <w:jc w:val="left"/>
            </w:pPr>
            <w:r>
              <w:rPr>
                <w:rFonts w:ascii="Calibri" w:cs="Calibri" w:eastAsia="Calibri" w:hAnsi="Calibri"/>
                <w:caps w:val="false"/>
                <w:color w:val="2B2E33"/>
                <w:sz w:val="19"/>
                <w:szCs w:val="19"/>
              </w:rPr>
              <w:t xml:space="preserve">Biggest group (~half the market); 44% face hard drug coverage and the highest patient cost ($103 avg).</w:t>
            </w:r>
          </w:p>
        </w:tc>
      </w:tr>
    </w:tbl>
    <w:p>
      <w:pPr>
        <w:spacing w:after="280"/>
      </w:pPr>
    </w:p>
    <w:p>
      <w:pPr>
        <w:spacing w:after="100" w:before="220"/>
      </w:pPr>
      <w:r>
        <w:rPr>
          <w:rFonts w:ascii="Cambria" w:cs="Cambria" w:eastAsia="Cambria" w:hAnsi="Cambria"/>
          <w:b/>
          <w:bCs/>
          <w:color w:val="1B3A5C"/>
          <w:sz w:val="23"/>
          <w:szCs w:val="23"/>
        </w:rPr>
        <w:t xml:space="preserve">What Drives Prescribing</w:t>
      </w:r>
    </w:p>
    <w:p>
      <w:pPr>
        <w:spacing w:after="160" w:line="300"/>
      </w:pPr>
      <w:r>
        <w:rPr>
          <w:rFonts w:ascii="Calibri" w:cs="Calibri" w:eastAsia="Calibri" w:hAnsi="Calibri"/>
          <w:color w:val="2B2E33"/>
          <w:sz w:val="21"/>
          <w:szCs w:val="21"/>
        </w:rPr>
        <w:t xml:space="preserve">Both models agree on the top three drivers, shown with direction of effect: peer influence (+), competitor loyalty (–), and share of cost-sensitive / Medicare patients (–). Notably, how often a rep visits matters less than peer influence — what other doctors are doing counts for more than how often a rep shows up.</w:t>
      </w:r>
    </w:p>
    <w:p>
      <w:pPr>
        <w:spacing w:after="0" w:before="16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320" w:before="100"/>
        <w:jc w:val="center"/>
      </w:pPr>
      <w:r>
        <w:rPr>
          <w:rFonts w:ascii="Calibri" w:cs="Calibri" w:eastAsia="Calibri" w:hAnsi="Calibri"/>
          <w:i/>
          <w:iCs/>
          <w:color w:val="5B6472"/>
          <w:sz w:val="18"/>
          <w:szCs w:val="18"/>
        </w:rPr>
        <w:t xml:space="preserve">Figure 2. Random Forest feature importance. Peer, competitor-loyalty, and cost/coverage factors lead.</w:t>
      </w:r>
    </w:p>
    <w:p>
      <w:pPr>
        <w:spacing w:after="100" w:before="220"/>
      </w:pPr>
      <w:r>
        <w:rPr>
          <w:rFonts w:ascii="Cambria" w:cs="Cambria" w:eastAsia="Cambria" w:hAnsi="Cambria"/>
          <w:b/>
          <w:bCs/>
          <w:color w:val="1B3A5C"/>
          <w:sz w:val="23"/>
          <w:szCs w:val="23"/>
        </w:rPr>
        <w:t xml:space="preserve">The Cost-and-Coverage Signal</w:t>
      </w:r>
    </w:p>
    <w:p>
      <w:pPr>
        <w:spacing w:after="160" w:line="300"/>
      </w:pPr>
      <w:r>
        <w:rPr>
          <w:rFonts w:ascii="Calibri" w:cs="Calibri" w:eastAsia="Calibri" w:hAnsi="Calibri"/>
          <w:color w:val="2B2E33"/>
          <w:sz w:val="21"/>
          <w:szCs w:val="21"/>
        </w:rPr>
        <w:t xml:space="preserve">Prescribing drops from 18.8% when the drug is easy to cover (Preferred tier) to 8.9% (Standard) to 4.2% (Restricted). The Access-Constrained group is concentrated in these harder, costlier tiers — proof that the biggest group’s low prescribing is a cost-and-coverage problem, not a lack of awareness.</w:t>
      </w:r>
    </w:p>
    <w:p>
      <w:pPr>
        <w:spacing w:after="0" w:before="160"/>
        <w:jc w:val="center"/>
      </w:pPr>
      <w:r>
        <w:drawing>
          <wp:inline distT="0" distB="0" distL="0" distR="0">
            <wp:extent cx="43815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876425"/>
                    </a:xfrm>
                    <a:prstGeom prst="rect">
                      <a:avLst/>
                    </a:prstGeom>
                  </pic:spPr>
                </pic:pic>
              </a:graphicData>
            </a:graphic>
          </wp:inline>
        </w:drawing>
      </w:r>
    </w:p>
    <w:p>
      <w:pPr>
        <w:spacing w:after="320" w:before="100"/>
        <w:jc w:val="center"/>
      </w:pPr>
      <w:r>
        <w:rPr>
          <w:rFonts w:ascii="Calibri" w:cs="Calibri" w:eastAsia="Calibri" w:hAnsi="Calibri"/>
          <w:i/>
          <w:iCs/>
          <w:color w:val="5B6472"/>
          <w:sz w:val="18"/>
          <w:szCs w:val="18"/>
        </w:rPr>
        <w:t xml:space="preserve">Figure 3. Adoption rate by formulary tier.</w:t>
      </w:r>
    </w:p>
    <w:p>
      <w:pPr>
        <w:spacing w:after="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52750"/>
                    </a:xfrm>
                    <a:prstGeom prst="rect">
                      <a:avLst/>
                    </a:prstGeom>
                  </pic:spPr>
                </pic:pic>
              </a:graphicData>
            </a:graphic>
          </wp:inline>
        </w:drawing>
      </w:r>
    </w:p>
    <w:p>
      <w:pPr>
        <w:spacing w:after="320" w:before="100"/>
        <w:jc w:val="center"/>
      </w:pPr>
      <w:r>
        <w:rPr>
          <w:rFonts w:ascii="Calibri" w:cs="Calibri" w:eastAsia="Calibri" w:hAnsi="Calibri"/>
          <w:i/>
          <w:iCs/>
          <w:color w:val="5B6472"/>
          <w:sz w:val="18"/>
          <w:szCs w:val="18"/>
        </w:rPr>
        <w:t xml:space="preserve">Figure 4. Where to focus — untapped patients vs. current prescribing; bubble size = number of doctors. Access-Constrained sits top-left: a huge untapped group with low prescribing.</w:t>
      </w:r>
    </w:p>
    <w:p>
      <w:pPr>
        <w:pBdr>
          <w:bottom w:val="single" w:color="DAD7CC" w:sz="6" w:space="6"/>
        </w:pBdr>
        <w:spacing w:after="200" w:before="420"/>
      </w:pPr>
      <w:r>
        <w:rPr>
          <w:rFonts w:ascii="Cambria" w:cs="Cambria" w:eastAsia="Cambria" w:hAnsi="Cambria"/>
          <w:b/>
          <w:bCs/>
          <w:color w:val="B8842E"/>
          <w:sz w:val="27"/>
          <w:szCs w:val="27"/>
        </w:rPr>
        <w:t xml:space="preserve">05  </w:t>
      </w:r>
      <w:r>
        <w:rPr>
          <w:rFonts w:ascii="Cambria" w:cs="Cambria" w:eastAsia="Cambria" w:hAnsi="Cambria"/>
          <w:b/>
          <w:bCs/>
          <w:color w:val="12233B"/>
          <w:sz w:val="27"/>
          <w:szCs w:val="27"/>
        </w:rPr>
        <w:t xml:space="preserve">Recommendation</w:t>
      </w:r>
    </w:p>
    <w:tbl>
      <w:tblPr>
        <w:tblW w:type="dxa" w:w="10080"/>
        <w:tblBorders>
          <w:top w:val="none" w:color="FFFFFF" w:sz="0"/>
          <w:left w:val="single" w:color="B8842E" w:sz="28"/>
          <w:bottom w:val="none" w:color="FFFFFF" w:sz="0"/>
          <w:right w:val="none" w:color="FFFFFF" w:sz="0"/>
          <w:insideH w:val="none" w:color="FFFFFF" w:sz="0"/>
          <w:insideV w:val="none" w:color="FFFFFF" w:sz="0"/>
        </w:tblBorders>
        <w:tblLayout w:type="fixed"/>
      </w:tblPr>
      <w:tblGrid>
        <w:gridCol w:w="10080"/>
      </w:tblGrid>
      <w:tr>
        <w:tc>
          <w:tcPr>
            <w:tcW w:type="dxa" w:w="10080"/>
            <w:shd w:fill="FBF1DF" w:color="auto" w:val="clear"/>
            <w:tcMar>
              <w:top w:type="dxa" w:w="180"/>
              <w:left w:type="dxa" w:w="260"/>
              <w:bottom w:type="dxa" w:w="180"/>
              <w:right w:type="dxa" w:w="260"/>
            </w:tcMar>
          </w:tcPr>
          <w:p>
            <w:pPr>
              <w:spacing w:after="60"/>
            </w:pPr>
            <w:r>
              <w:rPr>
                <w:rFonts w:ascii="Cambria" w:cs="Cambria" w:eastAsia="Cambria" w:hAnsi="Cambria"/>
                <w:b/>
                <w:bCs/>
                <w:color w:val="B8842E"/>
                <w:sz w:val="20"/>
                <w:szCs w:val="20"/>
              </w:rPr>
              <w:t xml:space="preserve">1   </w:t>
            </w:r>
            <w:r>
              <w:rPr>
                <w:rFonts w:ascii="Cambria" w:cs="Cambria" w:eastAsia="Cambria" w:hAnsi="Cambria"/>
                <w:b/>
                <w:bCs/>
                <w:color w:val="12233B"/>
                <w:sz w:val="22"/>
                <w:szCs w:val="22"/>
              </w:rPr>
              <w:t xml:space="preserve">Focus on White Space first</w:t>
            </w:r>
          </w:p>
          <w:p>
            <w:pPr>
              <w:spacing w:after="0" w:line="290"/>
            </w:pPr>
            <w:r>
              <w:rPr>
                <w:rFonts w:ascii="Calibri" w:cs="Calibri" w:eastAsia="Calibri" w:hAnsi="Calibri"/>
                <w:color w:val="2B2E33"/>
                <w:sz w:val="20"/>
                <w:szCs w:val="20"/>
              </w:rPr>
              <w:t xml:space="preserve">These 203 doctors already find the drug easy to prescribe and their peers prescribe it — but reps barely visit them. More visits, plus peer/KOL programs, will win them over fastest and at the lowest cost. This is the best return for the money.</w:t>
            </w:r>
          </w:p>
        </w:tc>
      </w:tr>
    </w:tbl>
    <w:p>
      <w:pPr>
        <w:spacing w:after="180"/>
      </w:pPr>
    </w:p>
    <w:tbl>
      <w:tblPr>
        <w:tblW w:type="dxa" w:w="10080"/>
        <w:tblBorders>
          <w:top w:val="none" w:color="FFFFFF" w:sz="0"/>
          <w:left w:val="single" w:color="C14A32" w:sz="28"/>
          <w:bottom w:val="none" w:color="FFFFFF" w:sz="0"/>
          <w:right w:val="none" w:color="FFFFFF" w:sz="0"/>
          <w:insideH w:val="none" w:color="FFFFFF" w:sz="0"/>
          <w:insideV w:val="none" w:color="FFFFFF" w:sz="0"/>
        </w:tblBorders>
        <w:tblLayout w:type="fixed"/>
      </w:tblPr>
      <w:tblGrid>
        <w:gridCol w:w="10080"/>
      </w:tblGrid>
      <w:tr>
        <w:tc>
          <w:tcPr>
            <w:tcW w:type="dxa" w:w="10080"/>
            <w:shd w:fill="FBE8E4" w:color="auto" w:val="clear"/>
            <w:tcMar>
              <w:top w:type="dxa" w:w="180"/>
              <w:left w:type="dxa" w:w="260"/>
              <w:bottom w:type="dxa" w:w="180"/>
              <w:right w:type="dxa" w:w="260"/>
            </w:tcMar>
          </w:tcPr>
          <w:p>
            <w:pPr>
              <w:spacing w:after="60"/>
            </w:pPr>
            <w:r>
              <w:rPr>
                <w:rFonts w:ascii="Cambria" w:cs="Cambria" w:eastAsia="Cambria" w:hAnsi="Cambria"/>
                <w:b/>
                <w:bCs/>
                <w:color w:val="C14A32"/>
                <w:sz w:val="20"/>
                <w:szCs w:val="20"/>
              </w:rPr>
              <w:t xml:space="preserve">2   </w:t>
            </w:r>
            <w:r>
              <w:rPr>
                <w:rFonts w:ascii="Cambria" w:cs="Cambria" w:eastAsia="Cambria" w:hAnsi="Cambria"/>
                <w:b/>
                <w:bCs/>
                <w:color w:val="12233B"/>
                <w:sz w:val="22"/>
                <w:szCs w:val="22"/>
              </w:rPr>
              <w:t xml:space="preserve">Fix Access-Constrained before spending more on it</w:t>
            </w:r>
          </w:p>
          <w:p>
            <w:pPr>
              <w:spacing w:after="0" w:line="290"/>
            </w:pPr>
            <w:r>
              <w:rPr>
                <w:rFonts w:ascii="Calibri" w:cs="Calibri" w:eastAsia="Calibri" w:hAnsi="Calibri"/>
                <w:color w:val="2B2E33"/>
                <w:sz w:val="20"/>
                <w:szCs w:val="20"/>
              </w:rPr>
              <w:t xml:space="preserve">This is the biggest group (about half the patients), but the problem is cost and coverage, not awareness. More rep visits won’t help — it needs an access fix first, like co-pay support and help getting insurance approvals.</w:t>
            </w:r>
          </w:p>
        </w:tc>
      </w:tr>
    </w:tbl>
    <w:p>
      <w:pPr>
        <w:spacing w:after="180"/>
      </w:pPr>
    </w:p>
    <w:tbl>
      <w:tblPr>
        <w:tblW w:type="dxa" w:w="10080"/>
        <w:tblBorders>
          <w:top w:val="none" w:color="FFFFFF" w:sz="0"/>
          <w:left w:val="single" w:color="1F7A6C" w:sz="28"/>
          <w:bottom w:val="none" w:color="FFFFFF" w:sz="0"/>
          <w:right w:val="none" w:color="FFFFFF" w:sz="0"/>
          <w:insideH w:val="none" w:color="FFFFFF" w:sz="0"/>
          <w:insideV w:val="none" w:color="FFFFFF" w:sz="0"/>
        </w:tblBorders>
        <w:tblLayout w:type="fixed"/>
      </w:tblPr>
      <w:tblGrid>
        <w:gridCol w:w="10080"/>
      </w:tblGrid>
      <w:tr>
        <w:tc>
          <w:tcPr>
            <w:tcW w:type="dxa" w:w="10080"/>
            <w:shd w:fill="E4F0EC" w:color="auto" w:val="clear"/>
            <w:tcMar>
              <w:top w:type="dxa" w:w="180"/>
              <w:left w:type="dxa" w:w="260"/>
              <w:bottom w:type="dxa" w:w="180"/>
              <w:right w:type="dxa" w:w="260"/>
            </w:tcMar>
          </w:tcPr>
          <w:p>
            <w:pPr>
              <w:spacing w:after="60"/>
            </w:pPr>
            <w:r>
              <w:rPr>
                <w:rFonts w:ascii="Cambria" w:cs="Cambria" w:eastAsia="Cambria" w:hAnsi="Cambria"/>
                <w:b/>
                <w:bCs/>
                <w:color w:val="1F7A6C"/>
                <w:sz w:val="20"/>
                <w:szCs w:val="20"/>
              </w:rPr>
              <w:t xml:space="preserve">3   </w:t>
            </w:r>
            <w:r>
              <w:rPr>
                <w:rFonts w:ascii="Cambria" w:cs="Cambria" w:eastAsia="Cambria" w:hAnsi="Cambria"/>
                <w:b/>
                <w:bCs/>
                <w:color w:val="12233B"/>
                <w:sz w:val="22"/>
                <w:szCs w:val="22"/>
              </w:rPr>
              <w:t xml:space="preserve">Keep Advocates happy, don’t over-invest</w:t>
            </w:r>
          </w:p>
          <w:p>
            <w:pPr>
              <w:spacing w:after="0" w:line="290"/>
            </w:pPr>
            <w:r>
              <w:rPr>
                <w:rFonts w:ascii="Calibri" w:cs="Calibri" w:eastAsia="Calibri" w:hAnsi="Calibri"/>
                <w:color w:val="2B2E33"/>
                <w:sz w:val="20"/>
                <w:szCs w:val="20"/>
              </w:rPr>
              <w:t xml:space="preserve">They already prescribe at 17% — protect this group with light-touch effort instead of using up scarce rep time here.</w:t>
            </w:r>
          </w:p>
        </w:tc>
      </w:tr>
    </w:tbl>
    <w:p>
      <w:pPr>
        <w:spacing w:after="180"/>
      </w:pPr>
    </w:p>
    <w:tbl>
      <w:tblPr>
        <w:tblW w:type="dxa" w:w="10080"/>
        <w:tblBorders>
          <w:top w:val="none" w:color="FFFFFF" w:sz="0"/>
          <w:left w:val="single" w:color="5B6472" w:sz="28"/>
          <w:bottom w:val="none" w:color="FFFFFF" w:sz="0"/>
          <w:right w:val="none" w:color="FFFFFF" w:sz="0"/>
          <w:insideH w:val="none" w:color="FFFFFF" w:sz="0"/>
          <w:insideV w:val="none" w:color="FFFFFF" w:sz="0"/>
        </w:tblBorders>
        <w:tblLayout w:type="fixed"/>
      </w:tblPr>
      <w:tblGrid>
        <w:gridCol w:w="10080"/>
      </w:tblGrid>
      <w:tr>
        <w:tc>
          <w:tcPr>
            <w:tcW w:type="dxa" w:w="10080"/>
            <w:shd w:fill="F7F6F2" w:color="auto" w:val="clear"/>
            <w:tcMar>
              <w:top w:type="dxa" w:w="180"/>
              <w:left w:type="dxa" w:w="260"/>
              <w:bottom w:type="dxa" w:w="180"/>
              <w:right w:type="dxa" w:w="260"/>
            </w:tcMar>
          </w:tcPr>
          <w:p>
            <w:pPr>
              <w:spacing w:after="60"/>
            </w:pPr>
            <w:r>
              <w:rPr>
                <w:rFonts w:ascii="Cambria" w:cs="Cambria" w:eastAsia="Cambria" w:hAnsi="Cambria"/>
                <w:b/>
                <w:bCs/>
                <w:color w:val="5B6472"/>
                <w:sz w:val="20"/>
                <w:szCs w:val="20"/>
              </w:rPr>
              <w:t xml:space="preserve">4   </w:t>
            </w:r>
            <w:r>
              <w:rPr>
                <w:rFonts w:ascii="Cambria" w:cs="Cambria" w:eastAsia="Cambria" w:hAnsi="Cambria"/>
                <w:b/>
                <w:bCs/>
                <w:color w:val="12233B"/>
                <w:sz w:val="22"/>
                <w:szCs w:val="22"/>
              </w:rPr>
              <w:t xml:space="preserve">Screen out high competitor-loyalty physicians</w:t>
            </w:r>
          </w:p>
          <w:p>
            <w:pPr>
              <w:spacing w:after="0" w:line="290"/>
            </w:pPr>
            <w:r>
              <w:rPr>
                <w:rFonts w:ascii="Calibri" w:cs="Calibri" w:eastAsia="Calibri" w:hAnsi="Calibri"/>
                <w:color w:val="2B2E33"/>
                <w:sz w:val="20"/>
                <w:szCs w:val="20"/>
              </w:rPr>
              <w:t xml:space="preserve">Competitor loyalty is the single strongest negative driver, so leave the most loyal ones out of the first push — they are unlikely to switch even after the cost problem is fixed.</w:t>
            </w:r>
          </w:p>
        </w:tc>
      </w:tr>
    </w:tbl>
    <w:p>
      <w:r>
        <w:br w:type="page"/>
      </w:r>
    </w:p>
    <w:p>
      <w:pPr>
        <w:pBdr>
          <w:bottom w:val="single" w:color="DAD7CC" w:sz="6" w:space="6"/>
        </w:pBdr>
        <w:spacing w:after="200" w:before="420"/>
      </w:pPr>
      <w:r>
        <w:rPr>
          <w:rFonts w:ascii="Cambria" w:cs="Cambria" w:eastAsia="Cambria" w:hAnsi="Cambria"/>
          <w:b/>
          <w:bCs/>
          <w:color w:val="B8842E"/>
          <w:sz w:val="27"/>
          <w:szCs w:val="27"/>
        </w:rPr>
        <w:t xml:space="preserve">06  </w:t>
      </w:r>
      <w:r>
        <w:rPr>
          <w:rFonts w:ascii="Cambria" w:cs="Cambria" w:eastAsia="Cambria" w:hAnsi="Cambria"/>
          <w:b/>
          <w:bCs/>
          <w:color w:val="12233B"/>
          <w:sz w:val="27"/>
          <w:szCs w:val="27"/>
        </w:rPr>
        <w:t xml:space="preserve">Business Impact</w:t>
      </w:r>
    </w:p>
    <w:p>
      <w:pPr>
        <w:spacing w:after="160" w:line="300"/>
      </w:pPr>
      <w:r>
        <w:rPr>
          <w:rFonts w:ascii="Calibri" w:cs="Calibri" w:eastAsia="Calibri" w:hAnsi="Calibri"/>
          <w:color w:val="2B2E33"/>
          <w:sz w:val="21"/>
          <w:szCs w:val="21"/>
        </w:rPr>
        <w:t xml:space="preserve">This plan moves limited resources away from spreading thin, and toward the best-return group (White Space) and the biggest group once it is unblocked (Access-Constrained). Knowing when to ‘engage more’ versus ‘fix access first’ is exactly what separates smart spending from wasted budget — the same thinking that underpins pharma sales and patient-access strategy more broadly.</w:t>
      </w:r>
    </w:p>
    <w:p>
      <w:pPr>
        <w:pBdr>
          <w:bottom w:val="single" w:color="DAD7CC" w:sz="6" w:space="6"/>
        </w:pBdr>
        <w:spacing w:after="200" w:before="420"/>
      </w:pPr>
      <w:r>
        <w:rPr>
          <w:rFonts w:ascii="Cambria" w:cs="Cambria" w:eastAsia="Cambria" w:hAnsi="Cambria"/>
          <w:b/>
          <w:bCs/>
          <w:color w:val="B8842E"/>
          <w:sz w:val="27"/>
          <w:szCs w:val="27"/>
        </w:rPr>
        <w:t xml:space="preserve">07  </w:t>
      </w:r>
      <w:r>
        <w:rPr>
          <w:rFonts w:ascii="Cambria" w:cs="Cambria" w:eastAsia="Cambria" w:hAnsi="Cambria"/>
          <w:b/>
          <w:bCs/>
          <w:color w:val="12233B"/>
          <w:sz w:val="27"/>
          <w:szCs w:val="27"/>
        </w:rPr>
        <w:t xml:space="preserve">Limitations &amp; Next Steps</w:t>
      </w:r>
    </w:p>
    <w:p>
      <w:pPr>
        <w:spacing w:after="160" w:line="300"/>
      </w:pPr>
      <w:r>
        <w:rPr>
          <w:rFonts w:ascii="Calibri" w:cs="Calibri" w:eastAsia="Calibri" w:hAnsi="Calibri"/>
          <w:color w:val="2B2E33"/>
          <w:sz w:val="21"/>
          <w:szCs w:val="21"/>
        </w:rPr>
        <w:t xml:space="preserve">•  The data is synthetic. The next step is to validate the grouping on real doctor data and confirm the same drivers hold.</w:t>
      </w:r>
    </w:p>
    <w:p>
      <w:pPr>
        <w:spacing w:after="160" w:line="300"/>
      </w:pPr>
      <w:r>
        <w:rPr>
          <w:rFonts w:ascii="Calibri" w:cs="Calibri" w:eastAsia="Calibri" w:hAnsi="Calibri"/>
          <w:color w:val="2B2E33"/>
          <w:sz w:val="21"/>
          <w:szCs w:val="21"/>
        </w:rPr>
        <w:t xml:space="preserve">•  Cluster count was chosen for clarity; a formal test (silhouette / elbow) would confirm it, and adding a time dimension (prescribing over quarters) would show urgency.</w:t>
      </w:r>
    </w:p>
    <w:p>
      <w:pPr>
        <w:spacing w:after="160" w:line="300"/>
      </w:pPr>
      <w:r>
        <w:rPr>
          <w:rFonts w:ascii="Calibri" w:cs="Calibri" w:eastAsia="Calibri" w:hAnsi="Calibri"/>
          <w:color w:val="2B2E33"/>
          <w:sz w:val="21"/>
          <w:szCs w:val="21"/>
        </w:rPr>
        <w:t xml:space="preserve">•  Adding expected revenue per new patient would turn the priority list into a clear dollar-ranked plan.</w:t>
      </w:r>
    </w:p>
    <w:p>
      <w:pPr>
        <w:pBdr>
          <w:bottom w:val="single" w:color="DAD7CC" w:sz="6" w:space="6"/>
        </w:pBdr>
        <w:spacing w:after="200" w:before="420"/>
      </w:pPr>
      <w:r>
        <w:rPr>
          <w:rFonts w:ascii="Cambria" w:cs="Cambria" w:eastAsia="Cambria" w:hAnsi="Cambria"/>
          <w:b/>
          <w:bCs/>
          <w:color w:val="B8842E"/>
          <w:sz w:val="27"/>
          <w:szCs w:val="27"/>
        </w:rPr>
        <w:t xml:space="preserve">08  </w:t>
      </w:r>
      <w:r>
        <w:rPr>
          <w:rFonts w:ascii="Cambria" w:cs="Cambria" w:eastAsia="Cambria" w:hAnsi="Cambria"/>
          <w:b/>
          <w:bCs/>
          <w:color w:val="12233B"/>
          <w:sz w:val="27"/>
          <w:szCs w:val="27"/>
        </w:rPr>
        <w:t xml:space="preserve">Tools &amp; AI-Assisted Workflow</w:t>
      </w:r>
    </w:p>
    <w:p>
      <w:pPr>
        <w:spacing w:after="160" w:line="300"/>
      </w:pPr>
      <w:r>
        <w:rPr>
          <w:rFonts w:ascii="Calibri" w:cs="Calibri" w:eastAsia="Calibri" w:hAnsi="Calibri"/>
          <w:color w:val="2B2E33"/>
          <w:sz w:val="21"/>
          <w:szCs w:val="21"/>
        </w:rPr>
        <w:t xml:space="preserve">Python (pandas, scikit-learn) powered the data work, clustering, and models; Tableau Public hosts the interactive 3-page dashboard. AI coding tools were used to move faster, with every modeling choice and conclusion reviewed and owned by the authors — AI accelerates the work while humans stay in charge of the thinking.</w:t>
      </w:r>
    </w:p>
    <w:tbl>
      <w:tblPr>
        <w:tblW w:type="dxa" w:w="10080"/>
        <w:tblBorders>
          <w:top w:val="none" w:color="FFFFFF" w:sz="0"/>
          <w:left w:val="single" w:color="DAD7CC" w:sz="28"/>
          <w:bottom w:val="none" w:color="FFFFFF" w:sz="0"/>
          <w:right w:val="none" w:color="FFFFFF" w:sz="0"/>
          <w:insideH w:val="none" w:color="FFFFFF" w:sz="0"/>
          <w:insideV w:val="none" w:color="FFFFFF" w:sz="0"/>
        </w:tblBorders>
        <w:tblLayout w:type="fixed"/>
      </w:tblPr>
      <w:tblGrid>
        <w:gridCol w:w="10080"/>
      </w:tblGrid>
      <w:tr>
        <w:tc>
          <w:tcPr>
            <w:tcW w:type="dxa" w:w="10080"/>
            <w:shd w:fill="F7F6F2" w:color="auto" w:val="clear"/>
            <w:tcMar>
              <w:top w:type="dxa" w:w="220"/>
              <w:left w:type="dxa" w:w="260"/>
              <w:bottom w:type="dxa" w:w="220"/>
              <w:right w:type="dxa" w:w="260"/>
            </w:tcMar>
          </w:tcPr>
          <w:p>
            <w:pPr>
              <w:spacing w:after="40"/>
            </w:pPr>
            <w:r>
              <w:rPr>
                <w:rFonts w:ascii="Calibri" w:cs="Calibri" w:eastAsia="Calibri" w:hAnsi="Calibri"/>
                <w:b/>
                <w:bCs/>
                <w:color w:val="12233B"/>
                <w:sz w:val="19"/>
                <w:szCs w:val="19"/>
              </w:rPr>
              <w:t xml:space="preserve">Interactive dashboard:  </w:t>
            </w:r>
            <w:r>
              <w:rPr>
                <w:rFonts w:ascii="Calibri" w:cs="Calibri" w:eastAsia="Calibri" w:hAnsi="Calibri"/>
                <w:color w:val="5B6472"/>
                <w:sz w:val="19"/>
                <w:szCs w:val="19"/>
              </w:rPr>
              <w:t xml:space="preserve">public.tableau.com/views/NovaCardPhysicianAdoptionDashboard/Story1</w:t>
            </w:r>
          </w:p>
          <w:p>
            <w:r>
              <w:rPr>
                <w:rFonts w:ascii="Calibri" w:cs="Calibri" w:eastAsia="Calibri" w:hAnsi="Calibri"/>
                <w:b/>
                <w:bCs/>
                <w:color w:val="12233B"/>
                <w:sz w:val="19"/>
                <w:szCs w:val="19"/>
              </w:rPr>
              <w:t xml:space="preserve">Data note:  </w:t>
            </w:r>
            <w:r>
              <w:rPr>
                <w:rFonts w:ascii="Calibri" w:cs="Calibri" w:eastAsia="Calibri" w:hAnsi="Calibri"/>
                <w:i/>
                <w:iCs/>
                <w:color w:val="5B6472"/>
                <w:sz w:val="19"/>
                <w:szCs w:val="19"/>
              </w:rPr>
              <w:t xml:space="preserve">synthetic 800-doctor dataset built with realistic pharma patterns; not real patient or prescriber data. Full code available on request.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AD7CC" w:sz="4" w:space="4"/>
      </w:pBdr>
      <w:jc w:val="center"/>
    </w:pPr>
    <w:r>
      <w:rPr>
        <w:rFonts w:ascii="Calibri" w:cs="Calibri" w:eastAsia="Calibri" w:hAnsi="Calibri"/>
        <w:color w:val="5B6472"/>
        <w:sz w:val="15"/>
        <w:szCs w:val="15"/>
      </w:rPr>
      <w:t xml:space="preserve">Page </w:t>
    </w:r>
    <w:r>
      <w:rPr>
        <w:rFonts w:ascii="Calibri" w:cs="Calibri" w:eastAsia="Calibri" w:hAnsi="Calibri"/>
        <w:color w:val="5B647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D7CC" w:sz="4" w:space="4"/>
      </w:pBdr>
      <w:jc w:val="right"/>
    </w:pPr>
    <w:r>
      <w:rPr>
        <w:rFonts w:ascii="Calibri" w:cs="Calibri" w:eastAsia="Calibri" w:hAnsi="Calibri"/>
        <w:caps/>
        <w:color w:val="5B6472"/>
        <w:spacing w:val="10"/>
        <w:sz w:val="14"/>
        <w:szCs w:val="14"/>
      </w:rPr>
      <w:t xml:space="preserve">NOVACARD PHYSICIAN ADOPTION  ·  COMMERCIAL ANALYTICS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E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73579336e417e97add8ac91cf9c231962d8ee9.png"/><Relationship Id="rId10" Type="http://schemas.openxmlformats.org/officeDocument/2006/relationships/image" Target="media/4848d761d3c419653eb555a6c29d45bcdae15e9d.png"/><Relationship Id="rId11" Type="http://schemas.openxmlformats.org/officeDocument/2006/relationships/image" Target="media/a8e0f256022d1724b5c77b0eabc2e20c440abb62.png"/><Relationship Id="rId12" Type="http://schemas.openxmlformats.org/officeDocument/2006/relationships/image" Target="media/d8ee9cf37a317b5fe03902e7599b84d37810154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2026-08-19T15:34:36.409Z</dcterms:created>
  <dcterms:modified xsi:type="dcterms:W3CDTF">2026-08-19T15:34:36.409Z</dcterms:modified>
</cp:coreProperties>
</file>

<file path=docProps/custom.xml><?xml version="1.0" encoding="utf-8"?>
<Properties xmlns="http://schemas.openxmlformats.org/officeDocument/2006/custom-properties" xmlns:vt="http://schemas.openxmlformats.org/officeDocument/2006/docPropsVTypes"/>
</file>