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2E7D5B"/>
          <w:sz w:val="28"/>
          <w:szCs w:val="28"/>
        </w:rPr>
        <w:t xml:space="preserve">BUSINESS REQUIREMENTS DOCUMENT</w:t>
      </w:r>
    </w:p>
    <w:p>
      <w:pPr>
        <w:spacing w:after="200"/>
        <w:jc w:val="center"/>
      </w:pPr>
      <w:r>
        <w:rPr>
          <w:b/>
          <w:bCs/>
          <w:color w:val="1F3A5F"/>
          <w:sz w:val="44"/>
          <w:szCs w:val="44"/>
        </w:rPr>
        <w:t xml:space="preserve">SDG/ESG Compliance Platform</w:t>
      </w:r>
    </w:p>
    <w:p>
      <w:pPr>
        <w:spacing w:after="800"/>
        <w:jc w:val="center"/>
      </w:pPr>
      <w:r>
        <w:rPr>
          <w:color w:val="595959"/>
          <w:sz w:val="24"/>
          <w:szCs w:val="24"/>
        </w:rPr>
        <w:t xml:space="preserve">A SEDG-aligned sustainability disclosure platform for Malaysian SMEs</w:t>
      </w:r>
    </w:p>
    <w:p>
      <w:pPr>
        <w:spacing w:after="80"/>
        <w:jc w:val="center"/>
      </w:pPr>
      <w:r>
        <w:rPr>
          <w:color w:val="595959"/>
          <w:sz w:val="20"/>
          <w:szCs w:val="20"/>
        </w:rPr>
        <w:t xml:space="preserve">Prepared for: Sarvess</w:t>
      </w:r>
    </w:p>
    <w:p>
      <w:pPr>
        <w:spacing w:after="80"/>
        <w:jc w:val="center"/>
      </w:pPr>
      <w:r>
        <w:rPr>
          <w:color w:val="595959"/>
          <w:sz w:val="20"/>
          <w:szCs w:val="20"/>
        </w:rPr>
        <w:t xml:space="preserve">Market: Malaysia (SME / SEDG-aligned segment)</w:t>
      </w:r>
    </w:p>
    <w:p>
      <w:pPr>
        <w:spacing w:after="80"/>
        <w:jc w:val="center"/>
      </w:pPr>
      <w:r>
        <w:rPr>
          <w:color w:val="595959"/>
          <w:sz w:val="20"/>
          <w:szCs w:val="20"/>
        </w:rPr>
        <w:t xml:space="preserve">Version 1.0 — July 2026</w:t>
      </w:r>
    </w:p>
    <w:p>
      <w:r>
        <w:br w:type="page"/>
      </w:r>
    </w:p>
    <w:p>
      <w:pPr>
        <w:pStyle w:val="Heading1"/>
        <w:spacing w:after="200" w:before="400"/>
      </w:pPr>
      <w:r>
        <w:rPr>
          <w:b/>
          <w:bCs/>
          <w:color w:val="1F3A5F"/>
          <w:sz w:val="30"/>
          <w:szCs w:val="30"/>
        </w:rPr>
        <w:t xml:space="preserve">1. 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Field</w:t>
            </w:r>
          </w:p>
        </w:tc>
        <w:tc>
          <w:tcPr>
            <w:tcW w:type="dxa" w:w="0"/>
            <w:shd w:fill="1F3A5F" w:val="clear"/>
            <w:tcMar>
              <w:top w:type="dxa" w:w="80"/>
              <w:left w:type="dxa" w:w="100"/>
              <w:bottom w:type="dxa" w:w="80"/>
              <w:right w:type="dxa" w:w="100"/>
            </w:tcMar>
          </w:tcPr>
          <w:p>
            <w:r>
              <w:rPr>
                <w:b/>
                <w:bCs/>
                <w:color w:val="FFFFFF"/>
                <w:sz w:val="19"/>
                <w:szCs w:val="19"/>
              </w:rPr>
              <w:t xml:space="preserve">Detail</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Document Type</w:t>
            </w:r>
          </w:p>
        </w:tc>
        <w:tc>
          <w:tcPr>
            <w:tcW w:type="dxa" w:w="0"/>
            <w:shd w:fill="FFFFFF" w:val="clear"/>
            <w:tcMar>
              <w:top w:type="dxa" w:w="80"/>
              <w:left w:type="dxa" w:w="100"/>
              <w:bottom w:type="dxa" w:w="80"/>
              <w:right w:type="dxa" w:w="100"/>
            </w:tcMar>
          </w:tcPr>
          <w:p>
            <w:r>
              <w:rPr>
                <w:b w:val="false"/>
                <w:bCs w:val="false"/>
                <w:color w:val="222222"/>
                <w:sz w:val="19"/>
                <w:szCs w:val="19"/>
              </w:rPr>
              <w:t xml:space="preserve">Business Requirements Document (BRD)</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Product Working Name</w:t>
            </w:r>
          </w:p>
        </w:tc>
        <w:tc>
          <w:tcPr>
            <w:tcW w:type="dxa" w:w="0"/>
            <w:shd w:fill="FFFFFF" w:val="clear"/>
            <w:tcMar>
              <w:top w:type="dxa" w:w="80"/>
              <w:left w:type="dxa" w:w="100"/>
              <w:bottom w:type="dxa" w:w="80"/>
              <w:right w:type="dxa" w:w="100"/>
            </w:tcMar>
          </w:tcPr>
          <w:p>
            <w:r>
              <w:rPr>
                <w:b w:val="false"/>
                <w:bCs w:val="false"/>
                <w:color w:val="222222"/>
                <w:sz w:val="19"/>
                <w:szCs w:val="19"/>
              </w:rPr>
              <w:t xml:space="preserve">TBD (SDG/ESG SME Platform)</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Version</w:t>
            </w:r>
          </w:p>
        </w:tc>
        <w:tc>
          <w:tcPr>
            <w:tcW w:type="dxa" w:w="0"/>
            <w:shd w:fill="FFFFFF" w:val="clear"/>
            <w:tcMar>
              <w:top w:type="dxa" w:w="80"/>
              <w:left w:type="dxa" w:w="100"/>
              <w:bottom w:type="dxa" w:w="80"/>
              <w:right w:type="dxa" w:w="100"/>
            </w:tcMar>
          </w:tcPr>
          <w:p>
            <w:r>
              <w:rPr>
                <w:b w:val="false"/>
                <w:bCs w:val="false"/>
                <w:color w:val="222222"/>
                <w:sz w:val="19"/>
                <w:szCs w:val="19"/>
              </w:rPr>
              <w:t xml:space="preserve">1.0</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Date</w:t>
            </w:r>
          </w:p>
        </w:tc>
        <w:tc>
          <w:tcPr>
            <w:tcW w:type="dxa" w:w="0"/>
            <w:shd w:fill="FFFFFF" w:val="clear"/>
            <w:tcMar>
              <w:top w:type="dxa" w:w="80"/>
              <w:left w:type="dxa" w:w="100"/>
              <w:bottom w:type="dxa" w:w="80"/>
              <w:right w:type="dxa" w:w="100"/>
            </w:tcMar>
          </w:tcPr>
          <w:p>
            <w:r>
              <w:rPr>
                <w:b w:val="false"/>
                <w:bCs w:val="false"/>
                <w:color w:val="222222"/>
                <w:sz w:val="19"/>
                <w:szCs w:val="19"/>
              </w:rPr>
              <w:t xml:space="preserve">July 2026</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Author</w:t>
            </w:r>
          </w:p>
        </w:tc>
        <w:tc>
          <w:tcPr>
            <w:tcW w:type="dxa" w:w="0"/>
            <w:shd w:fill="FFFFFF" w:val="clear"/>
            <w:tcMar>
              <w:top w:type="dxa" w:w="80"/>
              <w:left w:type="dxa" w:w="100"/>
              <w:bottom w:type="dxa" w:w="80"/>
              <w:right w:type="dxa" w:w="100"/>
            </w:tcMar>
          </w:tcPr>
          <w:p>
            <w:r>
              <w:rPr>
                <w:b w:val="false"/>
                <w:bCs w:val="false"/>
                <w:color w:val="222222"/>
                <w:sz w:val="19"/>
                <w:szCs w:val="19"/>
              </w:rPr>
              <w:t xml:space="preserve">Sarvess</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Status</w:t>
            </w:r>
          </w:p>
        </w:tc>
        <w:tc>
          <w:tcPr>
            <w:tcW w:type="dxa" w:w="0"/>
            <w:shd w:fill="FFFFFF" w:val="clear"/>
            <w:tcMar>
              <w:top w:type="dxa" w:w="80"/>
              <w:left w:type="dxa" w:w="100"/>
              <w:bottom w:type="dxa" w:w="80"/>
              <w:right w:type="dxa" w:w="100"/>
            </w:tcMar>
          </w:tcPr>
          <w:p>
            <w:r>
              <w:rPr>
                <w:b w:val="false"/>
                <w:bCs w:val="false"/>
                <w:color w:val="222222"/>
                <w:sz w:val="19"/>
                <w:szCs w:val="19"/>
              </w:rPr>
              <w:t xml:space="preserve">Draft for validation</w:t>
            </w:r>
          </w:p>
        </w:tc>
      </w:tr>
    </w:tbl>
    <w:p>
      <w:pPr>
        <w:spacing w:after="300"/>
      </w:pPr>
    </w:p>
    <w:p>
      <w:pPr>
        <w:pStyle w:val="Heading1"/>
        <w:spacing w:after="200" w:before="400"/>
      </w:pPr>
      <w:r>
        <w:rPr>
          <w:b/>
          <w:bCs/>
          <w:color w:val="1F3A5F"/>
          <w:sz w:val="30"/>
          <w:szCs w:val="30"/>
        </w:rPr>
        <w:t xml:space="preserve">2. Executive Summary</w:t>
      </w:r>
    </w:p>
    <w:p>
      <w:pPr>
        <w:spacing w:after="160" w:line="276"/>
      </w:pPr>
      <w:r>
        <w:rPr>
          <w:color w:val="222222"/>
          <w:sz w:val="21"/>
          <w:szCs w:val="21"/>
        </w:rPr>
        <w:t xml:space="preserve">Malaysian SMEs sitting inside the supply chains of Bursa-listed issuers are facing mounting ESG disclosure pressure without the tooling, budget, or in-house expertise to respond. Capital Markets Malaysia's Simplified ESG Disclosure Guide (SEDG) gives this segment a standardised, regulator-endorsed framework, but adoption remains low because compliance is still manual — spreadsheets, PDFs, and ad hoc consultant engagements. This platform proposes a SaaS product that operationalises SEDG (and, by extension, Bursa Malaysia's Sustainability Reporting Guide indicator set) into a guided, tiered, software-driven workflow for SMEs, priced and scoped for a segment that larger enterprise ESG platforms do not efficiently serve.</w:t>
      </w:r>
    </w:p>
    <w:p>
      <w:pPr>
        <w:spacing w:after="160" w:line="276"/>
      </w:pPr>
      <w:r>
        <w:rPr>
          <w:color w:val="222222"/>
          <w:sz w:val="21"/>
          <w:szCs w:val="21"/>
        </w:rPr>
        <w:t xml:space="preserve">The business opportunity rests on three converging forces: (1) regulatory cascade — large issuers must report Scope 3 and supply-chain ESG data, pushing the obligation down to SME suppliers; (2) commercial pressure — banks and GLC buyers increasingly use ESG data as a financing and tendering criterion; and (3) a documented capability gap — SMEs cite cost, complexity, and lack of guidance as the primary barriers to adoption, which is precisely what a well-designed SaaS product reduces.</w:t>
      </w:r>
    </w:p>
    <w:p>
      <w:pPr>
        <w:pStyle w:val="Heading1"/>
        <w:spacing w:after="200" w:before="400"/>
      </w:pPr>
      <w:r>
        <w:rPr>
          <w:b/>
          <w:bCs/>
          <w:color w:val="1F3A5F"/>
          <w:sz w:val="30"/>
          <w:szCs w:val="30"/>
        </w:rPr>
        <w:t xml:space="preserve">3. Business Objectives</w:t>
      </w:r>
    </w:p>
    <w:p>
      <w:pPr>
        <w:pStyle w:val="ListParagraph"/>
        <w:numPr>
          <w:ilvl w:val="0"/>
          <w:numId w:val="2"/>
        </w:numPr>
        <w:spacing w:after="80" w:line="270"/>
      </w:pPr>
      <w:r>
        <w:rPr>
          <w:color w:val="222222"/>
          <w:sz w:val="21"/>
          <w:szCs w:val="21"/>
        </w:rPr>
        <w:t xml:space="preserve">Capture early market share in the underserved Malaysian SME ESG-compliance segment before larger enterprise-focused ESG vendors move down-market.</w:t>
      </w:r>
    </w:p>
    <w:p>
      <w:pPr>
        <w:pStyle w:val="ListParagraph"/>
        <w:numPr>
          <w:ilvl w:val="0"/>
          <w:numId w:val="2"/>
        </w:numPr>
        <w:spacing w:after="80" w:line="270"/>
      </w:pPr>
      <w:r>
        <w:rPr>
          <w:color w:val="222222"/>
          <w:sz w:val="21"/>
          <w:szCs w:val="21"/>
        </w:rPr>
        <w:t xml:space="preserve">Reduce the cost and expertise barrier for SMEs to produce SEDG-aligned and Bursa-indicator-aligned sustainability disclosures.</w:t>
      </w:r>
    </w:p>
    <w:p>
      <w:pPr>
        <w:pStyle w:val="ListParagraph"/>
        <w:numPr>
          <w:ilvl w:val="0"/>
          <w:numId w:val="2"/>
        </w:numPr>
        <w:spacing w:after="80" w:line="270"/>
      </w:pPr>
      <w:r>
        <w:rPr>
          <w:color w:val="222222"/>
          <w:sz w:val="21"/>
          <w:szCs w:val="21"/>
        </w:rPr>
        <w:t xml:space="preserve">Build a recurring-revenue SaaS business validated by a small paying cohort within Year 1, scaling toward sustainable profitability by Year 2–3.</w:t>
      </w:r>
    </w:p>
    <w:p>
      <w:pPr>
        <w:pStyle w:val="ListParagraph"/>
        <w:numPr>
          <w:ilvl w:val="0"/>
          <w:numId w:val="2"/>
        </w:numPr>
        <w:spacing w:after="80" w:line="270"/>
      </w:pPr>
      <w:r>
        <w:rPr>
          <w:color w:val="222222"/>
          <w:sz w:val="21"/>
          <w:szCs w:val="21"/>
        </w:rPr>
        <w:t xml:space="preserve">Establish a data and workflow foundation (materiality assessment, governance documentation, multi-year indicator tracking) that can extend to adjacent segments — consultants/auditors and eventually larger issuers — without a full rebuild.</w:t>
      </w:r>
    </w:p>
    <w:p>
      <w:pPr>
        <w:spacing w:after="200"/>
      </w:pPr>
    </w:p>
    <w:p>
      <w:pPr>
        <w:pStyle w:val="Heading1"/>
        <w:spacing w:after="200" w:before="400"/>
      </w:pPr>
      <w:r>
        <w:rPr>
          <w:b/>
          <w:bCs/>
          <w:color w:val="1F3A5F"/>
          <w:sz w:val="30"/>
          <w:szCs w:val="30"/>
        </w:rPr>
        <w:t xml:space="preserve">4. Background and Market Context</w:t>
      </w:r>
    </w:p>
    <w:p>
      <w:pPr>
        <w:pStyle w:val="Heading3"/>
        <w:spacing w:after="100" w:before="200"/>
      </w:pPr>
      <w:r>
        <w:rPr>
          <w:b/>
          <w:bCs/>
          <w:color w:val="2E7D5B"/>
          <w:sz w:val="21"/>
          <w:szCs w:val="21"/>
        </w:rPr>
        <w:t xml:space="preserve">4.1 Regulatory drivers</w:t>
      </w:r>
    </w:p>
    <w:p>
      <w:pPr>
        <w:pStyle w:val="ListParagraph"/>
        <w:numPr>
          <w:ilvl w:val="0"/>
          <w:numId w:val="3"/>
        </w:numPr>
        <w:spacing w:after="80" w:line="270"/>
      </w:pPr>
      <w:r>
        <w:rPr>
          <w:color w:val="222222"/>
          <w:sz w:val="21"/>
          <w:szCs w:val="21"/>
        </w:rPr>
        <w:t xml:space="preserve">National Sustainability Reporting Framework (NSRF): launched by the Securities Commission Malaysia on 24 September 2024, mandates IFRS S1 (general disclosures) and IFRS S2 (climate) as baseline standards for listed issuers and large non-listed companies (RM2 billion+ revenue).</w:t>
      </w:r>
    </w:p>
    <w:p>
      <w:pPr>
        <w:pStyle w:val="ListParagraph"/>
        <w:numPr>
          <w:ilvl w:val="0"/>
          <w:numId w:val="3"/>
        </w:numPr>
        <w:spacing w:after="80" w:line="270"/>
      </w:pPr>
      <w:r>
        <w:rPr>
          <w:color w:val="222222"/>
          <w:sz w:val="21"/>
          <w:szCs w:val="21"/>
        </w:rPr>
        <w:t xml:space="preserve">On 23 December 2024, Bursa Malaysia amended its Main Market and ACE Market Listing Requirements to mandate IFRS S1/S2-aligned Sustainability Statements, replacing the guidance-based approach of the 3rd Edition Sustainability Reporting Guide. Phased rollout: Group 1 (market cap above RM2 billion) from FY2025, Group 2 (other Main Market) from FY2026, Group 3 (ACE Market) from FY2027, with 2 to 3 years of climate-first transition relief.</w:t>
      </w:r>
    </w:p>
    <w:p>
      <w:pPr>
        <w:pStyle w:val="ListParagraph"/>
        <w:numPr>
          <w:ilvl w:val="0"/>
          <w:numId w:val="3"/>
        </w:numPr>
        <w:spacing w:after="80" w:line="270"/>
      </w:pPr>
      <w:r>
        <w:rPr>
          <w:color w:val="222222"/>
          <w:sz w:val="21"/>
          <w:szCs w:val="21"/>
        </w:rPr>
        <w:t xml:space="preserve">Since 15 December 2025, listed issuers must generate their standardised sustainability disclosure summary through Bursa's own Centralised Sustainability Intelligence (CSI) platform and include it unmodified in their Sustainability Statement. CSI is provided free to issuers and is now the sole official reporting channel.</w:t>
      </w:r>
    </w:p>
    <w:p>
      <w:pPr>
        <w:pStyle w:val="ListParagraph"/>
        <w:numPr>
          <w:ilvl w:val="0"/>
          <w:numId w:val="3"/>
        </w:numPr>
        <w:spacing w:after="80" w:line="270"/>
      </w:pPr>
      <w:r>
        <w:rPr>
          <w:color w:val="222222"/>
          <w:sz w:val="21"/>
          <w:szCs w:val="21"/>
        </w:rPr>
        <w:t xml:space="preserve">The Common Sustainability Matters were reduced from 11 to 9 for Main Market issuers; ACE Market issuers report 11 (the 9 common matters plus waste management and emissions).</w:t>
      </w:r>
    </w:p>
    <w:p>
      <w:pPr>
        <w:pStyle w:val="ListParagraph"/>
        <w:numPr>
          <w:ilvl w:val="0"/>
          <w:numId w:val="3"/>
        </w:numPr>
        <w:spacing w:after="80" w:line="270"/>
      </w:pPr>
      <w:r>
        <w:rPr>
          <w:color w:val="222222"/>
          <w:sz w:val="21"/>
          <w:szCs w:val="21"/>
        </w:rPr>
        <w:t xml:space="preserve">Simplified ESG Disclosure Guide (SEDG): launched by Capital Markets Malaysia in October 2023, remains the standardised voluntary framework for SMEs in supply chains, not superseded by the CSI/IFRS changes, which apply only to listed issuers and large non-listed companies.</w:t>
      </w:r>
    </w:p>
    <w:p>
      <w:pPr>
        <w:pStyle w:val="Heading3"/>
        <w:spacing w:after="100" w:before="200"/>
      </w:pPr>
      <w:r>
        <w:rPr>
          <w:b/>
          <w:bCs/>
          <w:color w:val="2E7D5B"/>
          <w:sz w:val="21"/>
          <w:szCs w:val="21"/>
        </w:rPr>
        <w:t xml:space="preserve">4.2 Commercial drivers</w:t>
      </w:r>
    </w:p>
    <w:p>
      <w:pPr>
        <w:pStyle w:val="ListParagraph"/>
        <w:numPr>
          <w:ilvl w:val="0"/>
          <w:numId w:val="3"/>
        </w:numPr>
        <w:spacing w:after="80" w:line="270"/>
      </w:pPr>
      <w:r>
        <w:rPr>
          <w:color w:val="222222"/>
          <w:sz w:val="21"/>
          <w:szCs w:val="21"/>
        </w:rPr>
        <w:t xml:space="preserve">Bank Negara climate risk guidelines are pushing banks to score SME borrowers on ESG controls, affecting loan terms.</w:t>
      </w:r>
    </w:p>
    <w:p>
      <w:pPr>
        <w:pStyle w:val="ListParagraph"/>
        <w:numPr>
          <w:ilvl w:val="0"/>
          <w:numId w:val="3"/>
        </w:numPr>
        <w:spacing w:after="80" w:line="270"/>
      </w:pPr>
      <w:r>
        <w:rPr>
          <w:color w:val="222222"/>
          <w:sz w:val="21"/>
          <w:szCs w:val="21"/>
        </w:rPr>
        <w:t xml:space="preserve">GLC and MNC buyers (e.g. utilities, telcos, large manufacturers) are using ESG compliance as a tender tie-breaker, and increasingly need supplier-level Scope 3 data to satisfy their own IFRS S2 disclosures.</w:t>
      </w:r>
    </w:p>
    <w:p>
      <w:pPr>
        <w:pStyle w:val="Heading3"/>
        <w:spacing w:after="100" w:before="200"/>
      </w:pPr>
      <w:r>
        <w:rPr>
          <w:b/>
          <w:bCs/>
          <w:color w:val="2E7D5B"/>
          <w:sz w:val="21"/>
          <w:szCs w:val="21"/>
        </w:rPr>
        <w:t xml:space="preserve">4.3 Critical positioning constraint</w:t>
      </w:r>
    </w:p>
    <w:p>
      <w:pPr>
        <w:spacing w:after="160" w:line="276"/>
      </w:pPr>
      <w:r>
        <w:rPr>
          <w:color w:val="222222"/>
          <w:sz w:val="21"/>
          <w:szCs w:val="21"/>
        </w:rPr>
        <w:t xml:space="preserve">Because Bursa's CSI platform is now the mandatory, free, sole reporting channel for listed issuers, a third-party platform cannot replace or compete with it as the compliance channel of record for that segment. The viable product strategy is therefore twofold: (1) a full-featured disclosure tool for SMEs and large non-listed companies, the segment CSI does not serve, and (2) for listed issuers, a reporting-readiness and data-management layer that prepares, tracks, and validates data before it is entered into CSI, not a replacement for CSI itself.</w:t>
      </w:r>
    </w:p>
    <w:p>
      <w:pPr>
        <w:pStyle w:val="Heading3"/>
        <w:spacing w:after="100" w:before="200"/>
      </w:pPr>
      <w:r>
        <w:rPr>
          <w:b/>
          <w:bCs/>
          <w:color w:val="2E7D5B"/>
          <w:sz w:val="21"/>
          <w:szCs w:val="21"/>
        </w:rPr>
        <w:t xml:space="preserve">4.4 Adoption barrier (the opportunity)</w:t>
      </w:r>
    </w:p>
    <w:p>
      <w:pPr>
        <w:spacing w:after="160" w:line="276"/>
      </w:pPr>
      <w:r>
        <w:rPr>
          <w:color w:val="222222"/>
          <w:sz w:val="21"/>
          <w:szCs w:val="21"/>
        </w:rPr>
        <w:t xml:space="preserve">Industry research shows that while a majority of SME ESG adopters recognise its value, non-adopters cite three consistent barriers: uncertainty about tangible impact, limited technical knowledge, and high implementation cost. A guided, tiered SaaS product directly addresses all three.</w:t>
      </w:r>
    </w:p>
    <w:p>
      <w:pPr>
        <w:pStyle w:val="Heading1"/>
        <w:spacing w:after="200" w:before="400"/>
      </w:pPr>
      <w:r>
        <w:rPr>
          <w:b/>
          <w:bCs/>
          <w:color w:val="1F3A5F"/>
          <w:sz w:val="30"/>
          <w:szCs w:val="30"/>
        </w:rPr>
        <w:t xml:space="preserve">5.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Stakeholder</w:t>
            </w:r>
          </w:p>
        </w:tc>
        <w:tc>
          <w:tcPr>
            <w:tcW w:type="dxa" w:w="0"/>
            <w:shd w:fill="1F3A5F" w:val="clear"/>
            <w:tcMar>
              <w:top w:type="dxa" w:w="80"/>
              <w:left w:type="dxa" w:w="100"/>
              <w:bottom w:type="dxa" w:w="80"/>
              <w:right w:type="dxa" w:w="100"/>
            </w:tcMar>
          </w:tcPr>
          <w:p>
            <w:r>
              <w:rPr>
                <w:b/>
                <w:bCs/>
                <w:color w:val="FFFFFF"/>
                <w:sz w:val="19"/>
                <w:szCs w:val="19"/>
              </w:rPr>
              <w:t xml:space="preserve">Interest / Role</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SME sustainability/finance lead</w:t>
            </w:r>
          </w:p>
        </w:tc>
        <w:tc>
          <w:tcPr>
            <w:tcW w:type="dxa" w:w="0"/>
            <w:shd w:fill="FFFFFF" w:val="clear"/>
            <w:tcMar>
              <w:top w:type="dxa" w:w="80"/>
              <w:left w:type="dxa" w:w="100"/>
              <w:bottom w:type="dxa" w:w="80"/>
              <w:right w:type="dxa" w:w="100"/>
            </w:tcMar>
          </w:tcPr>
          <w:p>
            <w:r>
              <w:rPr>
                <w:b w:val="false"/>
                <w:bCs w:val="false"/>
                <w:color w:val="222222"/>
                <w:sz w:val="19"/>
                <w:szCs w:val="19"/>
              </w:rPr>
              <w:t xml:space="preserve">Primary platform user; responsible for data entry and disclosure output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SME senior management / board</w:t>
            </w:r>
          </w:p>
        </w:tc>
        <w:tc>
          <w:tcPr>
            <w:tcW w:type="dxa" w:w="0"/>
            <w:shd w:fill="FFFFFF" w:val="clear"/>
            <w:tcMar>
              <w:top w:type="dxa" w:w="80"/>
              <w:left w:type="dxa" w:w="100"/>
              <w:bottom w:type="dxa" w:w="80"/>
              <w:right w:type="dxa" w:w="100"/>
            </w:tcMar>
          </w:tcPr>
          <w:p>
            <w:r>
              <w:rPr>
                <w:b w:val="false"/>
                <w:bCs w:val="false"/>
                <w:color w:val="222222"/>
                <w:sz w:val="19"/>
                <w:szCs w:val="19"/>
              </w:rPr>
              <w:t xml:space="preserve">Oversight; consumes governance and materiality summaries; approves targets</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Large issuer / buyer (data requester)</w:t>
            </w:r>
          </w:p>
        </w:tc>
        <w:tc>
          <w:tcPr>
            <w:tcW w:type="dxa" w:w="0"/>
            <w:shd w:fill="FFFFFF" w:val="clear"/>
            <w:tcMar>
              <w:top w:type="dxa" w:w="80"/>
              <w:left w:type="dxa" w:w="100"/>
              <w:bottom w:type="dxa" w:w="80"/>
              <w:right w:type="dxa" w:w="100"/>
            </w:tcMar>
          </w:tcPr>
          <w:p>
            <w:r>
              <w:rPr>
                <w:b w:val="false"/>
                <w:bCs w:val="false"/>
                <w:color w:val="222222"/>
                <w:sz w:val="19"/>
                <w:szCs w:val="19"/>
              </w:rPr>
              <w:t xml:space="preserve">Receives SME disclosure output; may drive SME adoption as a supply-chain requirement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Bank / financier</w:t>
            </w:r>
          </w:p>
        </w:tc>
        <w:tc>
          <w:tcPr>
            <w:tcW w:type="dxa" w:w="0"/>
            <w:shd w:fill="FFFFFF" w:val="clear"/>
            <w:tcMar>
              <w:top w:type="dxa" w:w="80"/>
              <w:left w:type="dxa" w:w="100"/>
              <w:bottom w:type="dxa" w:w="80"/>
              <w:right w:type="dxa" w:w="100"/>
            </w:tcMar>
          </w:tcPr>
          <w:p>
            <w:r>
              <w:rPr>
                <w:b w:val="false"/>
                <w:bCs w:val="false"/>
                <w:color w:val="222222"/>
                <w:sz w:val="19"/>
                <w:szCs w:val="19"/>
              </w:rPr>
              <w:t xml:space="preserve">May request ESG data as part of credit risk assessment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ESG consultants / auditors</w:t>
            </w:r>
          </w:p>
        </w:tc>
        <w:tc>
          <w:tcPr>
            <w:tcW w:type="dxa" w:w="0"/>
            <w:shd w:fill="FFFFFF" w:val="clear"/>
            <w:tcMar>
              <w:top w:type="dxa" w:w="80"/>
              <w:left w:type="dxa" w:w="100"/>
              <w:bottom w:type="dxa" w:w="80"/>
              <w:right w:type="dxa" w:w="100"/>
            </w:tcMar>
          </w:tcPr>
          <w:p>
            <w:r>
              <w:rPr>
                <w:b w:val="false"/>
                <w:bCs w:val="false"/>
                <w:color w:val="222222"/>
                <w:sz w:val="19"/>
                <w:szCs w:val="19"/>
              </w:rPr>
              <w:t xml:space="preserve">Potential channel partner or white-label customer</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Product owner (Sarvess)</w:t>
            </w:r>
          </w:p>
        </w:tc>
        <w:tc>
          <w:tcPr>
            <w:tcW w:type="dxa" w:w="0"/>
            <w:shd w:fill="FFFFFF" w:val="clear"/>
            <w:tcMar>
              <w:top w:type="dxa" w:w="80"/>
              <w:left w:type="dxa" w:w="100"/>
              <w:bottom w:type="dxa" w:w="80"/>
              <w:right w:type="dxa" w:w="100"/>
            </w:tcMar>
          </w:tcPr>
          <w:p>
            <w:r>
              <w:rPr>
                <w:b w:val="false"/>
                <w:bCs w:val="false"/>
                <w:color w:val="222222"/>
                <w:sz w:val="19"/>
                <w:szCs w:val="19"/>
              </w:rPr>
              <w:t xml:space="preserve">Defines roadmap, prioritises features, owns commercial outcomes</w:t>
            </w:r>
          </w:p>
        </w:tc>
      </w:tr>
    </w:tbl>
    <w:p>
      <w:pPr>
        <w:pStyle w:val="Heading1"/>
        <w:spacing w:after="200" w:before="400"/>
      </w:pPr>
      <w:r>
        <w:rPr>
          <w:b/>
          <w:bCs/>
          <w:color w:val="1F3A5F"/>
          <w:sz w:val="30"/>
          <w:szCs w:val="30"/>
        </w:rPr>
        <w:t xml:space="preserve">6. Scope and Plan Structure</w:t>
      </w:r>
    </w:p>
    <w:p>
      <w:pPr>
        <w:spacing w:after="160" w:line="276"/>
      </w:pPr>
      <w:r>
        <w:rPr>
          <w:color w:val="222222"/>
          <w:sz w:val="21"/>
          <w:szCs w:val="21"/>
        </w:rPr>
        <w:t xml:space="preserve">To reconcile "complete coverage of Bursa's requirements" with a realistic solo-build roadmap, the platform is structured as a single product with three plans. Each plan is fully-featured for its target company profile rather than being an artificially crippled version of the next tier — this keeps the product honest about what each customer actually needs.</w:t>
      </w:r>
    </w:p>
    <w:p>
      <w:pPr>
        <w:pStyle w:val="Heading3"/>
        <w:spacing w:after="100" w:before="200"/>
      </w:pPr>
      <w:r>
        <w:rPr>
          <w:b/>
          <w:bCs/>
          <w:color w:val="2E7D5B"/>
          <w:sz w:val="21"/>
          <w:szCs w:val="21"/>
        </w:rPr>
        <w:t xml:space="preserve">6.1 Plan 1 — SME Starter (SEDG-aligned)</w:t>
      </w:r>
    </w:p>
    <w:p>
      <w:pPr>
        <w:spacing w:after="160" w:line="276"/>
      </w:pPr>
      <w:r>
        <w:rPr>
          <w:color w:val="222222"/>
          <w:sz w:val="21"/>
          <w:szCs w:val="21"/>
        </w:rPr>
        <w:t xml:space="preserve">Target: SMEs in supply chains, voluntary disclosure, no Listing Requirement obligation.</w:t>
      </w:r>
    </w:p>
    <w:p>
      <w:pPr>
        <w:pStyle w:val="ListParagraph"/>
        <w:numPr>
          <w:ilvl w:val="0"/>
          <w:numId w:val="3"/>
        </w:numPr>
        <w:spacing w:after="80" w:line="270"/>
      </w:pPr>
      <w:r>
        <w:rPr>
          <w:color w:val="222222"/>
          <w:sz w:val="21"/>
          <w:szCs w:val="21"/>
        </w:rPr>
        <w:t xml:space="preserve">Guided materiality assessment and the SEDG Basic-tier disclosure set.</w:t>
      </w:r>
    </w:p>
    <w:p>
      <w:pPr>
        <w:pStyle w:val="ListParagraph"/>
        <w:numPr>
          <w:ilvl w:val="0"/>
          <w:numId w:val="3"/>
        </w:numPr>
        <w:spacing w:after="80" w:line="270"/>
      </w:pPr>
      <w:r>
        <w:rPr>
          <w:color w:val="222222"/>
          <w:sz w:val="21"/>
          <w:szCs w:val="21"/>
        </w:rPr>
        <w:t xml:space="preserve">Common sustainability matters data capture (single year to start).</w:t>
      </w:r>
    </w:p>
    <w:p>
      <w:pPr>
        <w:pStyle w:val="ListParagraph"/>
        <w:numPr>
          <w:ilvl w:val="0"/>
          <w:numId w:val="3"/>
        </w:numPr>
        <w:spacing w:after="80" w:line="270"/>
      </w:pPr>
      <w:r>
        <w:rPr>
          <w:color w:val="222222"/>
          <w:sz w:val="21"/>
          <w:szCs w:val="21"/>
        </w:rPr>
        <w:t xml:space="preserve">Exportable disclosure summary for buyer/bank requests.</w:t>
      </w:r>
    </w:p>
    <w:p>
      <w:pPr>
        <w:pStyle w:val="Heading3"/>
        <w:spacing w:after="100" w:before="200"/>
      </w:pPr>
      <w:r>
        <w:rPr>
          <w:b/>
          <w:bCs/>
          <w:color w:val="2E7D5B"/>
          <w:sz w:val="21"/>
          <w:szCs w:val="21"/>
        </w:rPr>
        <w:t xml:space="preserve">6.2 Plan 2 — SME Growth (Full SEDG + Common Matters)</w:t>
      </w:r>
    </w:p>
    <w:p>
      <w:pPr>
        <w:spacing w:after="160" w:line="276"/>
      </w:pPr>
      <w:r>
        <w:rPr>
          <w:color w:val="222222"/>
          <w:sz w:val="21"/>
          <w:szCs w:val="21"/>
        </w:rPr>
        <w:t xml:space="preserve">Target: SMEs with recurring buyer/bank ESG requests, working toward Intermediate/Advanced SEDG tiers.</w:t>
      </w:r>
    </w:p>
    <w:p>
      <w:pPr>
        <w:pStyle w:val="ListParagraph"/>
        <w:numPr>
          <w:ilvl w:val="0"/>
          <w:numId w:val="3"/>
        </w:numPr>
        <w:spacing w:after="80" w:line="270"/>
      </w:pPr>
      <w:r>
        <w:rPr>
          <w:color w:val="222222"/>
          <w:sz w:val="21"/>
          <w:szCs w:val="21"/>
        </w:rPr>
        <w:t xml:space="preserve">Full SEDG Intermediate and Advanced disclosure sets (35 disclosures).</w:t>
      </w:r>
    </w:p>
    <w:p>
      <w:pPr>
        <w:pStyle w:val="ListParagraph"/>
        <w:numPr>
          <w:ilvl w:val="0"/>
          <w:numId w:val="3"/>
        </w:numPr>
        <w:spacing w:after="80" w:line="270"/>
      </w:pPr>
      <w:r>
        <w:rPr>
          <w:color w:val="222222"/>
          <w:sz w:val="21"/>
          <w:szCs w:val="21"/>
        </w:rPr>
        <w:t xml:space="preserve">Multi-year data tracking (minimum 3 financial years) with target-vs-actual comparison.</w:t>
      </w:r>
    </w:p>
    <w:p>
      <w:pPr>
        <w:pStyle w:val="ListParagraph"/>
        <w:numPr>
          <w:ilvl w:val="0"/>
          <w:numId w:val="3"/>
        </w:numPr>
        <w:spacing w:after="80" w:line="270"/>
      </w:pPr>
      <w:r>
        <w:rPr>
          <w:color w:val="222222"/>
          <w:sz w:val="21"/>
          <w:szCs w:val="21"/>
        </w:rPr>
        <w:t xml:space="preserve">Governance structure documentation.</w:t>
      </w:r>
    </w:p>
    <w:p>
      <w:pPr>
        <w:pStyle w:val="ListParagraph"/>
        <w:numPr>
          <w:ilvl w:val="0"/>
          <w:numId w:val="3"/>
        </w:numPr>
        <w:spacing w:after="80" w:line="270"/>
      </w:pPr>
      <w:r>
        <w:rPr>
          <w:color w:val="222222"/>
          <w:sz w:val="21"/>
          <w:szCs w:val="21"/>
        </w:rPr>
        <w:t xml:space="preserve">One sector-specific SEDG module (pilot: Manufacturing), expandable to the other four SEDG sectors.</w:t>
      </w:r>
    </w:p>
    <w:p>
      <w:pPr>
        <w:pStyle w:val="Heading3"/>
        <w:spacing w:after="100" w:before="200"/>
      </w:pPr>
      <w:r>
        <w:rPr>
          <w:b/>
          <w:bCs/>
          <w:color w:val="2E7D5B"/>
          <w:sz w:val="21"/>
          <w:szCs w:val="21"/>
        </w:rPr>
        <w:t xml:space="preserve">6.3 Plan 3 — Issuer-Ready (Complete Bursa/IFRS coverage)</w:t>
      </w:r>
    </w:p>
    <w:p>
      <w:pPr>
        <w:spacing w:after="160" w:line="276"/>
      </w:pPr>
      <w:r>
        <w:rPr>
          <w:color w:val="222222"/>
          <w:sz w:val="21"/>
          <w:szCs w:val="21"/>
        </w:rPr>
        <w:t xml:space="preserve">Target: Main Market and ACE Market listed issuers, and large non-listed companies in NSRF scope, who need a data-management and readiness layer before submitting through Bursa's mandatory CSI platform.</w:t>
      </w:r>
    </w:p>
    <w:p>
      <w:pPr>
        <w:pStyle w:val="ListParagraph"/>
        <w:numPr>
          <w:ilvl w:val="0"/>
          <w:numId w:val="3"/>
        </w:numPr>
        <w:spacing w:after="80" w:line="270"/>
      </w:pPr>
      <w:r>
        <w:rPr>
          <w:color w:val="222222"/>
          <w:sz w:val="21"/>
          <w:szCs w:val="21"/>
        </w:rPr>
        <w:t xml:space="preserve">Correct Common Sustainability Matters set applied by market: 9 matters for Main Market, 11 for ACE Market (9 plus waste and emissions).</w:t>
      </w:r>
    </w:p>
    <w:p>
      <w:pPr>
        <w:pStyle w:val="ListParagraph"/>
        <w:numPr>
          <w:ilvl w:val="0"/>
          <w:numId w:val="3"/>
        </w:numPr>
        <w:spacing w:after="80" w:line="270"/>
      </w:pPr>
      <w:r>
        <w:rPr>
          <w:color w:val="222222"/>
          <w:sz w:val="21"/>
          <w:szCs w:val="21"/>
        </w:rPr>
        <w:t xml:space="preserve">IFRS S1 (general sustainability-related risks/opportunities) and IFRS S2 (climate: governance, strategy, risk management, metrics and targets) structured data capture, replacing the old standalone TCFD module now that TCFD-aligned disclosure has been formally absorbed into IFRS S2.</w:t>
      </w:r>
    </w:p>
    <w:p>
      <w:pPr>
        <w:pStyle w:val="ListParagraph"/>
        <w:numPr>
          <w:ilvl w:val="0"/>
          <w:numId w:val="3"/>
        </w:numPr>
        <w:spacing w:after="80" w:line="270"/>
      </w:pPr>
      <w:r>
        <w:rPr>
          <w:color w:val="222222"/>
          <w:sz w:val="21"/>
          <w:szCs w:val="21"/>
        </w:rPr>
        <w:t xml:space="preserve">Full Scope 1, 2, and 3 GHG emissions tracking, with support for the climate-first transition relief (2 years Main Market, 3 years ACE Market) and principal-segment scoping.</w:t>
      </w:r>
    </w:p>
    <w:p>
      <w:pPr>
        <w:pStyle w:val="ListParagraph"/>
        <w:numPr>
          <w:ilvl w:val="0"/>
          <w:numId w:val="3"/>
        </w:numPr>
        <w:spacing w:after="80" w:line="270"/>
      </w:pPr>
      <w:r>
        <w:rPr>
          <w:color w:val="222222"/>
          <w:sz w:val="21"/>
          <w:szCs w:val="21"/>
        </w:rPr>
        <w:t xml:space="preserve">Assurance-readiness workflow: structured audit trail, internal review sign-off, and export formats aligned to what external assurance providers require, in preparation for mandatory reasonable assurance on Scope 1/2.</w:t>
      </w:r>
    </w:p>
    <w:p>
      <w:pPr>
        <w:pStyle w:val="ListParagraph"/>
        <w:numPr>
          <w:ilvl w:val="0"/>
          <w:numId w:val="3"/>
        </w:numPr>
        <w:spacing w:after="80" w:line="270"/>
      </w:pPr>
      <w:r>
        <w:rPr>
          <w:color w:val="222222"/>
          <w:sz w:val="21"/>
          <w:szCs w:val="21"/>
        </w:rPr>
        <w:t xml:space="preserve">CSI-compatible export: output structured to match Bursa's CSI data requirements, so an issuer's sustainability team can review, validate, and finalise data in this platform, then transfer it into CSI for official submission. This platform is explicitly a pre-CSI readiness layer, not a replacement for CSI.</w:t>
      </w:r>
    </w:p>
    <w:p>
      <w:pPr>
        <w:pStyle w:val="ListParagraph"/>
        <w:numPr>
          <w:ilvl w:val="0"/>
          <w:numId w:val="3"/>
        </w:numPr>
        <w:spacing w:after="80" w:line="270"/>
      </w:pPr>
      <w:r>
        <w:rPr>
          <w:color w:val="222222"/>
          <w:sz w:val="21"/>
          <w:szCs w:val="21"/>
        </w:rPr>
        <w:t xml:space="preserve">Multi-sector indicator coverage across Bursa's sector classifications, not limited to a single pilot sector.</w:t>
      </w:r>
    </w:p>
    <w:p>
      <w:pPr>
        <w:pStyle w:val="Heading3"/>
        <w:spacing w:after="100" w:before="200"/>
      </w:pPr>
      <w:r>
        <w:rPr>
          <w:b/>
          <w:bCs/>
          <w:color w:val="2E7D5B"/>
          <w:sz w:val="21"/>
          <w:szCs w:val="21"/>
        </w:rPr>
        <w:t xml:space="preserve">6.4 Out of scope (all plans, Phase 1 build)</w:t>
      </w:r>
    </w:p>
    <w:p>
      <w:pPr>
        <w:pStyle w:val="ListParagraph"/>
        <w:numPr>
          <w:ilvl w:val="0"/>
          <w:numId w:val="3"/>
        </w:numPr>
        <w:spacing w:after="80" w:line="270"/>
      </w:pPr>
      <w:r>
        <w:rPr>
          <w:color w:val="222222"/>
          <w:sz w:val="21"/>
          <w:szCs w:val="21"/>
        </w:rPr>
        <w:t xml:space="preserve">Direct API integration with Bursa's CSI platform (no public integration channel currently documented; revisit if Bursa publishes one).</w:t>
      </w:r>
    </w:p>
    <w:p>
      <w:pPr>
        <w:pStyle w:val="ListParagraph"/>
        <w:numPr>
          <w:ilvl w:val="0"/>
          <w:numId w:val="3"/>
        </w:numPr>
        <w:spacing w:after="80" w:line="270"/>
      </w:pPr>
      <w:r>
        <w:rPr>
          <w:color w:val="222222"/>
          <w:sz w:val="21"/>
          <w:szCs w:val="21"/>
        </w:rPr>
        <w:t xml:space="preserve">Multi-entity consolidation for corporate groups — later phase within the Issuer-Ready plan.</w:t>
      </w:r>
    </w:p>
    <w:p>
      <w:pPr>
        <w:pStyle w:val="ListParagraph"/>
        <w:numPr>
          <w:ilvl w:val="0"/>
          <w:numId w:val="3"/>
        </w:numPr>
        <w:spacing w:after="80" w:line="270"/>
      </w:pPr>
      <w:r>
        <w:rPr>
          <w:color w:val="222222"/>
          <w:sz w:val="21"/>
          <w:szCs w:val="21"/>
        </w:rPr>
        <w:t xml:space="preserve">XBRL or other regulator-specific data tagging beyond CSI-compatible export formatting.</w:t>
      </w:r>
    </w:p>
    <w:p>
      <w:pPr>
        <w:pStyle w:val="Heading1"/>
        <w:spacing w:after="200" w:before="400"/>
      </w:pPr>
      <w:r>
        <w:rPr>
          <w:b/>
          <w:bCs/>
          <w:color w:val="1F3A5F"/>
          <w:sz w:val="30"/>
          <w:szCs w:val="30"/>
        </w:rPr>
        <w:t xml:space="preserve">7. Business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700"/>
        <w:gridCol w:w="13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ID</w:t>
            </w:r>
          </w:p>
        </w:tc>
        <w:tc>
          <w:tcPr>
            <w:tcW w:type="dxa" w:w="0"/>
            <w:shd w:fill="1F3A5F" w:val="clear"/>
            <w:tcMar>
              <w:top w:type="dxa" w:w="80"/>
              <w:left w:type="dxa" w:w="100"/>
              <w:bottom w:type="dxa" w:w="80"/>
              <w:right w:type="dxa" w:w="100"/>
            </w:tcMar>
          </w:tcPr>
          <w:p>
            <w:r>
              <w:rPr>
                <w:b/>
                <w:bCs/>
                <w:color w:val="FFFFFF"/>
                <w:sz w:val="19"/>
                <w:szCs w:val="19"/>
              </w:rPr>
              <w:t xml:space="preserve">Requirement</w:t>
            </w:r>
          </w:p>
        </w:tc>
        <w:tc>
          <w:tcPr>
            <w:tcW w:type="dxa" w:w="0"/>
            <w:shd w:fill="1F3A5F" w:val="clear"/>
            <w:tcMar>
              <w:top w:type="dxa" w:w="80"/>
              <w:left w:type="dxa" w:w="100"/>
              <w:bottom w:type="dxa" w:w="80"/>
              <w:right w:type="dxa" w:w="100"/>
            </w:tcMar>
          </w:tcPr>
          <w:p>
            <w:r>
              <w:rPr>
                <w:b/>
                <w:bCs/>
                <w:color w:val="FFFFFF"/>
                <w:sz w:val="19"/>
                <w:szCs w:val="19"/>
              </w:rPr>
              <w:t xml:space="preserve">Plan(s)</w:t>
            </w:r>
          </w:p>
        </w:tc>
        <w:tc>
          <w:tcPr>
            <w:tcW w:type="dxa" w:w="0"/>
            <w:shd w:fill="1F3A5F" w:val="clear"/>
            <w:tcMar>
              <w:top w:type="dxa" w:w="80"/>
              <w:left w:type="dxa" w:w="100"/>
              <w:bottom w:type="dxa" w:w="80"/>
              <w:right w:type="dxa" w:w="100"/>
            </w:tcMar>
          </w:tcPr>
          <w:p>
            <w:r>
              <w:rPr>
                <w:b/>
                <w:bCs/>
                <w:color w:val="FFFFFF"/>
                <w:sz w:val="19"/>
                <w:szCs w:val="19"/>
              </w:rPr>
              <w:t xml:space="preserve">Priority</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BR-01</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platform must let a company record disclosures against the correct Common Sustainability Matters set for its profile: SEDG's 35 disclosures for SMEs, 9 matters for Main Market issuers, 11 for ACE Market issuers.</w:t>
            </w:r>
          </w:p>
        </w:tc>
        <w:tc>
          <w:tcPr>
            <w:tcW w:type="dxa" w:w="0"/>
            <w:shd w:fill="FFFFFF" w:val="clear"/>
            <w:tcMar>
              <w:top w:type="dxa" w:w="80"/>
              <w:left w:type="dxa" w:w="100"/>
              <w:bottom w:type="dxa" w:w="80"/>
              <w:right w:type="dxa" w:w="100"/>
            </w:tcMar>
          </w:tcPr>
          <w:p>
            <w:r>
              <w:rPr>
                <w:b w:val="false"/>
                <w:bCs w:val="false"/>
                <w:color w:val="222222"/>
                <w:sz w:val="19"/>
                <w:szCs w:val="19"/>
              </w:rPr>
              <w:t xml:space="preserve">All</w:t>
            </w:r>
          </w:p>
        </w:tc>
        <w:tc>
          <w:tcPr>
            <w:tcW w:type="dxa" w:w="0"/>
            <w:shd w:fill="FFFFFF" w:val="clear"/>
            <w:tcMar>
              <w:top w:type="dxa" w:w="80"/>
              <w:left w:type="dxa" w:w="100"/>
              <w:bottom w:type="dxa" w:w="80"/>
              <w:right w:type="dxa" w:w="100"/>
            </w:tcMar>
          </w:tcPr>
          <w:p>
            <w:r>
              <w:rPr>
                <w:b w:val="false"/>
                <w:bCs w:val="false"/>
                <w:color w:val="222222"/>
                <w:sz w:val="19"/>
                <w:szCs w:val="19"/>
              </w:rPr>
              <w:t xml:space="preserve">Must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BR-02</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platform must support a guided materiality assessment so companies can identify and prioritise matters without external consulting.</w:t>
            </w:r>
          </w:p>
        </w:tc>
        <w:tc>
          <w:tcPr>
            <w:tcW w:type="dxa" w:w="0"/>
            <w:shd w:fill="FFFFFF" w:val="clear"/>
            <w:tcMar>
              <w:top w:type="dxa" w:w="80"/>
              <w:left w:type="dxa" w:w="100"/>
              <w:bottom w:type="dxa" w:w="80"/>
              <w:right w:type="dxa" w:w="100"/>
            </w:tcMar>
          </w:tcPr>
          <w:p>
            <w:r>
              <w:rPr>
                <w:b w:val="false"/>
                <w:bCs w:val="false"/>
                <w:color w:val="222222"/>
                <w:sz w:val="19"/>
                <w:szCs w:val="19"/>
              </w:rPr>
              <w:t xml:space="preserve">All</w:t>
            </w:r>
          </w:p>
        </w:tc>
        <w:tc>
          <w:tcPr>
            <w:tcW w:type="dxa" w:w="0"/>
            <w:shd w:fill="FFFFFF" w:val="clear"/>
            <w:tcMar>
              <w:top w:type="dxa" w:w="80"/>
              <w:left w:type="dxa" w:w="100"/>
              <w:bottom w:type="dxa" w:w="80"/>
              <w:right w:type="dxa" w:w="100"/>
            </w:tcMar>
          </w:tcPr>
          <w:p>
            <w:r>
              <w:rPr>
                <w:b w:val="false"/>
                <w:bCs w:val="false"/>
                <w:color w:val="222222"/>
                <w:sz w:val="19"/>
                <w:szCs w:val="19"/>
              </w:rPr>
              <w:t xml:space="preserve">Must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BR-03</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platform must store at least 3 financial years of indicator data per company to support trend and target comparison.</w:t>
            </w:r>
          </w:p>
        </w:tc>
        <w:tc>
          <w:tcPr>
            <w:tcW w:type="dxa" w:w="0"/>
            <w:shd w:fill="FFFFFF" w:val="clear"/>
            <w:tcMar>
              <w:top w:type="dxa" w:w="80"/>
              <w:left w:type="dxa" w:w="100"/>
              <w:bottom w:type="dxa" w:w="80"/>
              <w:right w:type="dxa" w:w="100"/>
            </w:tcMar>
          </w:tcPr>
          <w:p>
            <w:r>
              <w:rPr>
                <w:b w:val="false"/>
                <w:bCs w:val="false"/>
                <w:color w:val="222222"/>
                <w:sz w:val="19"/>
                <w:szCs w:val="19"/>
              </w:rPr>
              <w:t xml:space="preserve">Growth, Issuer-Ready</w:t>
            </w:r>
          </w:p>
        </w:tc>
        <w:tc>
          <w:tcPr>
            <w:tcW w:type="dxa" w:w="0"/>
            <w:shd w:fill="FFFFFF" w:val="clear"/>
            <w:tcMar>
              <w:top w:type="dxa" w:w="80"/>
              <w:left w:type="dxa" w:w="100"/>
              <w:bottom w:type="dxa" w:w="80"/>
              <w:right w:type="dxa" w:w="100"/>
            </w:tcMar>
          </w:tcPr>
          <w:p>
            <w:r>
              <w:rPr>
                <w:b w:val="false"/>
                <w:bCs w:val="false"/>
                <w:color w:val="222222"/>
                <w:sz w:val="19"/>
                <w:szCs w:val="19"/>
              </w:rPr>
              <w:t xml:space="preserve">Must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BR-04</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platform must offer three plans (Starter, Growth, Issuer-Ready), each fully featured for its target company profile rather than an artificially limited version of the next.</w:t>
            </w:r>
          </w:p>
        </w:tc>
        <w:tc>
          <w:tcPr>
            <w:tcW w:type="dxa" w:w="0"/>
            <w:shd w:fill="FFFFFF" w:val="clear"/>
            <w:tcMar>
              <w:top w:type="dxa" w:w="80"/>
              <w:left w:type="dxa" w:w="100"/>
              <w:bottom w:type="dxa" w:w="80"/>
              <w:right w:type="dxa" w:w="100"/>
            </w:tcMar>
          </w:tcPr>
          <w:p>
            <w:r>
              <w:rPr>
                <w:b w:val="false"/>
                <w:bCs w:val="false"/>
                <w:color w:val="222222"/>
                <w:sz w:val="19"/>
                <w:szCs w:val="19"/>
              </w:rPr>
              <w:t xml:space="preserve">All</w:t>
            </w:r>
          </w:p>
        </w:tc>
        <w:tc>
          <w:tcPr>
            <w:tcW w:type="dxa" w:w="0"/>
            <w:shd w:fill="FFFFFF" w:val="clear"/>
            <w:tcMar>
              <w:top w:type="dxa" w:w="80"/>
              <w:left w:type="dxa" w:w="100"/>
              <w:bottom w:type="dxa" w:w="80"/>
              <w:right w:type="dxa" w:w="100"/>
            </w:tcMar>
          </w:tcPr>
          <w:p>
            <w:r>
              <w:rPr>
                <w:b w:val="false"/>
                <w:bCs w:val="false"/>
                <w:color w:val="222222"/>
                <w:sz w:val="19"/>
                <w:szCs w:val="19"/>
              </w:rPr>
              <w:t xml:space="preserve">Must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BR-05</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platform must produce an exportable disclosure summary suitable for buyer, bank, or auditor requests.</w:t>
            </w:r>
          </w:p>
        </w:tc>
        <w:tc>
          <w:tcPr>
            <w:tcW w:type="dxa" w:w="0"/>
            <w:shd w:fill="FFFFFF" w:val="clear"/>
            <w:tcMar>
              <w:top w:type="dxa" w:w="80"/>
              <w:left w:type="dxa" w:w="100"/>
              <w:bottom w:type="dxa" w:w="80"/>
              <w:right w:type="dxa" w:w="100"/>
            </w:tcMar>
          </w:tcPr>
          <w:p>
            <w:r>
              <w:rPr>
                <w:b w:val="false"/>
                <w:bCs w:val="false"/>
                <w:color w:val="222222"/>
                <w:sz w:val="19"/>
                <w:szCs w:val="19"/>
              </w:rPr>
              <w:t xml:space="preserve">All</w:t>
            </w:r>
          </w:p>
        </w:tc>
        <w:tc>
          <w:tcPr>
            <w:tcW w:type="dxa" w:w="0"/>
            <w:shd w:fill="FFFFFF" w:val="clear"/>
            <w:tcMar>
              <w:top w:type="dxa" w:w="80"/>
              <w:left w:type="dxa" w:w="100"/>
              <w:bottom w:type="dxa" w:w="80"/>
              <w:right w:type="dxa" w:w="100"/>
            </w:tcMar>
          </w:tcPr>
          <w:p>
            <w:r>
              <w:rPr>
                <w:b w:val="false"/>
                <w:bCs w:val="false"/>
                <w:color w:val="222222"/>
                <w:sz w:val="19"/>
                <w:szCs w:val="19"/>
              </w:rPr>
              <w:t xml:space="preserve">Must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BR-06</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platform must document company governance structure for sustainability oversight and accountability.</w:t>
            </w:r>
          </w:p>
        </w:tc>
        <w:tc>
          <w:tcPr>
            <w:tcW w:type="dxa" w:w="0"/>
            <w:shd w:fill="FFFFFF" w:val="clear"/>
            <w:tcMar>
              <w:top w:type="dxa" w:w="80"/>
              <w:left w:type="dxa" w:w="100"/>
              <w:bottom w:type="dxa" w:w="80"/>
              <w:right w:type="dxa" w:w="100"/>
            </w:tcMar>
          </w:tcPr>
          <w:p>
            <w:r>
              <w:rPr>
                <w:b w:val="false"/>
                <w:bCs w:val="false"/>
                <w:color w:val="222222"/>
                <w:sz w:val="19"/>
                <w:szCs w:val="19"/>
              </w:rPr>
              <w:t xml:space="preserve">Growth, Issuer-Ready</w:t>
            </w:r>
          </w:p>
        </w:tc>
        <w:tc>
          <w:tcPr>
            <w:tcW w:type="dxa" w:w="0"/>
            <w:shd w:fill="FFFFFF" w:val="clear"/>
            <w:tcMar>
              <w:top w:type="dxa" w:w="80"/>
              <w:left w:type="dxa" w:w="100"/>
              <w:bottom w:type="dxa" w:w="80"/>
              <w:right w:type="dxa" w:w="100"/>
            </w:tcMar>
          </w:tcPr>
          <w:p>
            <w:r>
              <w:rPr>
                <w:b w:val="false"/>
                <w:bCs w:val="false"/>
                <w:color w:val="222222"/>
                <w:sz w:val="19"/>
                <w:szCs w:val="19"/>
              </w:rPr>
              <w:t xml:space="preserve">Must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BR-07</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Issuer-Ready plan must support IFRS S1 and IFRS S2 structured data capture, including full Scope 1/2/3 emissions and climate-first transition relief handling.</w:t>
            </w:r>
          </w:p>
        </w:tc>
        <w:tc>
          <w:tcPr>
            <w:tcW w:type="dxa" w:w="0"/>
            <w:shd w:fill="FFFFFF" w:val="clear"/>
            <w:tcMar>
              <w:top w:type="dxa" w:w="80"/>
              <w:left w:type="dxa" w:w="100"/>
              <w:bottom w:type="dxa" w:w="80"/>
              <w:right w:type="dxa" w:w="100"/>
            </w:tcMar>
          </w:tcPr>
          <w:p>
            <w:r>
              <w:rPr>
                <w:b w:val="false"/>
                <w:bCs w:val="false"/>
                <w:color w:val="222222"/>
                <w:sz w:val="19"/>
                <w:szCs w:val="19"/>
              </w:rPr>
              <w:t xml:space="preserve">Issuer-Ready</w:t>
            </w:r>
          </w:p>
        </w:tc>
        <w:tc>
          <w:tcPr>
            <w:tcW w:type="dxa" w:w="0"/>
            <w:shd w:fill="FFFFFF" w:val="clear"/>
            <w:tcMar>
              <w:top w:type="dxa" w:w="80"/>
              <w:left w:type="dxa" w:w="100"/>
              <w:bottom w:type="dxa" w:w="80"/>
              <w:right w:type="dxa" w:w="100"/>
            </w:tcMar>
          </w:tcPr>
          <w:p>
            <w:r>
              <w:rPr>
                <w:b w:val="false"/>
                <w:bCs w:val="false"/>
                <w:color w:val="222222"/>
                <w:sz w:val="19"/>
                <w:szCs w:val="19"/>
              </w:rPr>
              <w:t xml:space="preserve">Must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BR-08</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Issuer-Ready plan must produce a CSI-compatible export format so issuer teams can validate data before manual transfer into Bursa's CSI platform.</w:t>
            </w:r>
          </w:p>
        </w:tc>
        <w:tc>
          <w:tcPr>
            <w:tcW w:type="dxa" w:w="0"/>
            <w:shd w:fill="FFFFFF" w:val="clear"/>
            <w:tcMar>
              <w:top w:type="dxa" w:w="80"/>
              <w:left w:type="dxa" w:w="100"/>
              <w:bottom w:type="dxa" w:w="80"/>
              <w:right w:type="dxa" w:w="100"/>
            </w:tcMar>
          </w:tcPr>
          <w:p>
            <w:r>
              <w:rPr>
                <w:b w:val="false"/>
                <w:bCs w:val="false"/>
                <w:color w:val="222222"/>
                <w:sz w:val="19"/>
                <w:szCs w:val="19"/>
              </w:rPr>
              <w:t xml:space="preserve">Issuer-Ready</w:t>
            </w:r>
          </w:p>
        </w:tc>
        <w:tc>
          <w:tcPr>
            <w:tcW w:type="dxa" w:w="0"/>
            <w:shd w:fill="FFFFFF" w:val="clear"/>
            <w:tcMar>
              <w:top w:type="dxa" w:w="80"/>
              <w:left w:type="dxa" w:w="100"/>
              <w:bottom w:type="dxa" w:w="80"/>
              <w:right w:type="dxa" w:w="100"/>
            </w:tcMar>
          </w:tcPr>
          <w:p>
            <w:r>
              <w:rPr>
                <w:b w:val="false"/>
                <w:bCs w:val="false"/>
                <w:color w:val="222222"/>
                <w:sz w:val="19"/>
                <w:szCs w:val="19"/>
              </w:rPr>
              <w:t xml:space="preserve">Must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BR-09</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platform must provide an audit trail of data entry (who, when, source) to support future assurance requirements.</w:t>
            </w:r>
          </w:p>
        </w:tc>
        <w:tc>
          <w:tcPr>
            <w:tcW w:type="dxa" w:w="0"/>
            <w:shd w:fill="FFFFFF" w:val="clear"/>
            <w:tcMar>
              <w:top w:type="dxa" w:w="80"/>
              <w:left w:type="dxa" w:w="100"/>
              <w:bottom w:type="dxa" w:w="80"/>
              <w:right w:type="dxa" w:w="100"/>
            </w:tcMar>
          </w:tcPr>
          <w:p>
            <w:r>
              <w:rPr>
                <w:b w:val="false"/>
                <w:bCs w:val="false"/>
                <w:color w:val="222222"/>
                <w:sz w:val="19"/>
                <w:szCs w:val="19"/>
              </w:rPr>
              <w:t xml:space="preserve">Growth, Issuer-Ready</w:t>
            </w:r>
          </w:p>
        </w:tc>
        <w:tc>
          <w:tcPr>
            <w:tcW w:type="dxa" w:w="0"/>
            <w:shd w:fill="FFFFFF" w:val="clear"/>
            <w:tcMar>
              <w:top w:type="dxa" w:w="80"/>
              <w:left w:type="dxa" w:w="100"/>
              <w:bottom w:type="dxa" w:w="80"/>
              <w:right w:type="dxa" w:w="100"/>
            </w:tcMar>
          </w:tcPr>
          <w:p>
            <w:r>
              <w:rPr>
                <w:b w:val="false"/>
                <w:bCs w:val="false"/>
                <w:color w:val="222222"/>
                <w:sz w:val="19"/>
                <w:szCs w:val="19"/>
              </w:rPr>
              <w:t xml:space="preserve">Should</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BR-10</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platform should support sector-specific indicator modules, starting with one SEDG pilot sector and expanding to full Bursa sector coverage on Issuer-Ready.</w:t>
            </w:r>
          </w:p>
        </w:tc>
        <w:tc>
          <w:tcPr>
            <w:tcW w:type="dxa" w:w="0"/>
            <w:shd w:fill="FFFFFF" w:val="clear"/>
            <w:tcMar>
              <w:top w:type="dxa" w:w="80"/>
              <w:left w:type="dxa" w:w="100"/>
              <w:bottom w:type="dxa" w:w="80"/>
              <w:right w:type="dxa" w:w="100"/>
            </w:tcMar>
          </w:tcPr>
          <w:p>
            <w:r>
              <w:rPr>
                <w:b w:val="false"/>
                <w:bCs w:val="false"/>
                <w:color w:val="222222"/>
                <w:sz w:val="19"/>
                <w:szCs w:val="19"/>
              </w:rPr>
              <w:t xml:space="preserve">Growth, Issuer-Ready</w:t>
            </w:r>
          </w:p>
        </w:tc>
        <w:tc>
          <w:tcPr>
            <w:tcW w:type="dxa" w:w="0"/>
            <w:shd w:fill="FFFFFF" w:val="clear"/>
            <w:tcMar>
              <w:top w:type="dxa" w:w="80"/>
              <w:left w:type="dxa" w:w="100"/>
              <w:bottom w:type="dxa" w:w="80"/>
              <w:right w:type="dxa" w:w="100"/>
            </w:tcMar>
          </w:tcPr>
          <w:p>
            <w:r>
              <w:rPr>
                <w:b w:val="false"/>
                <w:bCs w:val="false"/>
                <w:color w:val="222222"/>
                <w:sz w:val="19"/>
                <w:szCs w:val="19"/>
              </w:rPr>
              <w:t xml:space="preserve">Should</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BR-11</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platform could support a consultant/auditor multi-client view for channel partners.</w:t>
            </w:r>
          </w:p>
        </w:tc>
        <w:tc>
          <w:tcPr>
            <w:tcW w:type="dxa" w:w="0"/>
            <w:shd w:fill="FFFFFF" w:val="clear"/>
            <w:tcMar>
              <w:top w:type="dxa" w:w="80"/>
              <w:left w:type="dxa" w:w="100"/>
              <w:bottom w:type="dxa" w:w="80"/>
              <w:right w:type="dxa" w:w="100"/>
            </w:tcMar>
          </w:tcPr>
          <w:p>
            <w:r>
              <w:rPr>
                <w:b w:val="false"/>
                <w:bCs w:val="false"/>
                <w:color w:val="222222"/>
                <w:sz w:val="19"/>
                <w:szCs w:val="19"/>
              </w:rPr>
              <w:t xml:space="preserve">All (add-on)</w:t>
            </w:r>
          </w:p>
        </w:tc>
        <w:tc>
          <w:tcPr>
            <w:tcW w:type="dxa" w:w="0"/>
            <w:shd w:fill="FFFFFF" w:val="clear"/>
            <w:tcMar>
              <w:top w:type="dxa" w:w="80"/>
              <w:left w:type="dxa" w:w="100"/>
              <w:bottom w:type="dxa" w:w="80"/>
              <w:right w:type="dxa" w:w="100"/>
            </w:tcMar>
          </w:tcPr>
          <w:p>
            <w:r>
              <w:rPr>
                <w:b w:val="false"/>
                <w:bCs w:val="false"/>
                <w:color w:val="222222"/>
                <w:sz w:val="19"/>
                <w:szCs w:val="19"/>
              </w:rPr>
              <w:t xml:space="preserve">Could</w:t>
            </w:r>
          </w:p>
        </w:tc>
      </w:tr>
    </w:tbl>
    <w:p>
      <w:pPr>
        <w:pStyle w:val="Heading1"/>
        <w:spacing w:after="200" w:before="400"/>
      </w:pPr>
      <w:r>
        <w:rPr>
          <w:b/>
          <w:bCs/>
          <w:color w:val="1F3A5F"/>
          <w:sz w:val="30"/>
          <w:szCs w:val="30"/>
        </w:rPr>
        <w:t xml:space="preserve">8. Assumptions</w:t>
      </w:r>
    </w:p>
    <w:p>
      <w:pPr>
        <w:pStyle w:val="ListParagraph"/>
        <w:numPr>
          <w:ilvl w:val="0"/>
          <w:numId w:val="3"/>
        </w:numPr>
        <w:spacing w:after="80" w:line="270"/>
      </w:pPr>
      <w:r>
        <w:rPr>
          <w:color w:val="222222"/>
          <w:sz w:val="21"/>
          <w:szCs w:val="21"/>
        </w:rPr>
        <w:t xml:space="preserve">SMEs will be more willing to pay for a low-cost guided tool than to hire a consultant for full ESG advisory.</w:t>
      </w:r>
    </w:p>
    <w:p>
      <w:pPr>
        <w:pStyle w:val="ListParagraph"/>
        <w:numPr>
          <w:ilvl w:val="0"/>
          <w:numId w:val="3"/>
        </w:numPr>
        <w:spacing w:after="80" w:line="270"/>
      </w:pPr>
      <w:r>
        <w:rPr>
          <w:color w:val="222222"/>
          <w:sz w:val="21"/>
          <w:szCs w:val="21"/>
        </w:rPr>
        <w:t xml:space="preserve">SEDG remains the dominant SME-facing framework in Malaysia through the product's early years and does not get superseded by a materially different structure.</w:t>
      </w:r>
    </w:p>
    <w:p>
      <w:pPr>
        <w:pStyle w:val="ListParagraph"/>
        <w:numPr>
          <w:ilvl w:val="0"/>
          <w:numId w:val="3"/>
        </w:numPr>
        <w:spacing w:after="80" w:line="270"/>
      </w:pPr>
      <w:r>
        <w:rPr>
          <w:color w:val="222222"/>
          <w:sz w:val="21"/>
          <w:szCs w:val="21"/>
        </w:rPr>
        <w:t xml:space="preserve">Initial customer acquisition will rely on direct outreach and possibly partnerships with SME associations or banks, not paid marketing at scale.</w:t>
      </w:r>
    </w:p>
    <w:p>
      <w:pPr>
        <w:pStyle w:val="ListParagraph"/>
        <w:numPr>
          <w:ilvl w:val="0"/>
          <w:numId w:val="3"/>
        </w:numPr>
        <w:spacing w:after="80" w:line="270"/>
      </w:pPr>
      <w:r>
        <w:rPr>
          <w:color w:val="222222"/>
          <w:sz w:val="21"/>
          <w:szCs w:val="21"/>
        </w:rPr>
        <w:t xml:space="preserve">The founder will operate solo, part-time, through at least the MVP and early validation phase.</w:t>
      </w:r>
    </w:p>
    <w:p>
      <w:pPr>
        <w:pStyle w:val="Heading1"/>
        <w:spacing w:after="200" w:before="400"/>
      </w:pPr>
      <w:r>
        <w:rPr>
          <w:b/>
          <w:bCs/>
          <w:color w:val="1F3A5F"/>
          <w:sz w:val="30"/>
          <w:szCs w:val="30"/>
        </w:rPr>
        <w:t xml:space="preserve">9. Constraints</w:t>
      </w:r>
    </w:p>
    <w:p>
      <w:pPr>
        <w:pStyle w:val="ListParagraph"/>
        <w:numPr>
          <w:ilvl w:val="0"/>
          <w:numId w:val="3"/>
        </w:numPr>
        <w:spacing w:after="80" w:line="270"/>
      </w:pPr>
      <w:r>
        <w:rPr>
          <w:color w:val="222222"/>
          <w:sz w:val="21"/>
          <w:szCs w:val="21"/>
        </w:rPr>
        <w:t xml:space="preserve">Solo, nights-and-weekends development capacity limits the pace of feature delivery and customer support responsiveness.</w:t>
      </w:r>
    </w:p>
    <w:p>
      <w:pPr>
        <w:pStyle w:val="ListParagraph"/>
        <w:numPr>
          <w:ilvl w:val="0"/>
          <w:numId w:val="3"/>
        </w:numPr>
        <w:spacing w:after="80" w:line="270"/>
      </w:pPr>
      <w:r>
        <w:rPr>
          <w:color w:val="222222"/>
          <w:sz w:val="21"/>
          <w:szCs w:val="21"/>
        </w:rPr>
        <w:t xml:space="preserve">No existing brand recognition or distribution channel in the ESG/sustainability space.</w:t>
      </w:r>
    </w:p>
    <w:p>
      <w:pPr>
        <w:pStyle w:val="ListParagraph"/>
        <w:numPr>
          <w:ilvl w:val="0"/>
          <w:numId w:val="3"/>
        </w:numPr>
        <w:spacing w:after="80" w:line="270"/>
      </w:pPr>
      <w:r>
        <w:rPr>
          <w:color w:val="222222"/>
          <w:sz w:val="21"/>
          <w:szCs w:val="21"/>
        </w:rPr>
        <w:t xml:space="preserve">Regulatory frameworks (NSRF, SEDG) are still evolving; product must be built to accommodate indicator or framework changes without a full rebuild.</w:t>
      </w:r>
    </w:p>
    <w:p>
      <w:pPr>
        <w:pStyle w:val="ListParagraph"/>
        <w:numPr>
          <w:ilvl w:val="0"/>
          <w:numId w:val="3"/>
        </w:numPr>
        <w:spacing w:after="80" w:line="270"/>
      </w:pPr>
      <w:r>
        <w:rPr>
          <w:color w:val="222222"/>
          <w:sz w:val="21"/>
          <w:szCs w:val="21"/>
        </w:rPr>
        <w:t xml:space="preserve">Budget for compliance/legal review of disclosure outputs is limited in early phases.</w:t>
      </w:r>
    </w:p>
    <w:p>
      <w:pPr>
        <w:pStyle w:val="Heading1"/>
        <w:spacing w:after="200" w:before="400"/>
      </w:pPr>
      <w:r>
        <w:rPr>
          <w:b/>
          <w:bCs/>
          <w:color w:val="1F3A5F"/>
          <w:sz w:val="30"/>
          <w:szCs w:val="30"/>
        </w:rPr>
        <w:t xml:space="preserve">10. Risks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1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Risk</w:t>
            </w:r>
          </w:p>
        </w:tc>
        <w:tc>
          <w:tcPr>
            <w:tcW w:type="dxa" w:w="0"/>
            <w:shd w:fill="1F3A5F" w:val="clear"/>
            <w:tcMar>
              <w:top w:type="dxa" w:w="80"/>
              <w:left w:type="dxa" w:w="100"/>
              <w:bottom w:type="dxa" w:w="80"/>
              <w:right w:type="dxa" w:w="100"/>
            </w:tcMar>
          </w:tcPr>
          <w:p>
            <w:r>
              <w:rPr>
                <w:b/>
                <w:bCs/>
                <w:color w:val="FFFFFF"/>
                <w:sz w:val="19"/>
                <w:szCs w:val="19"/>
              </w:rPr>
              <w:t xml:space="preserve">Impact</w:t>
            </w:r>
          </w:p>
        </w:tc>
        <w:tc>
          <w:tcPr>
            <w:tcW w:type="dxa" w:w="0"/>
            <w:shd w:fill="1F3A5F" w:val="clear"/>
            <w:tcMar>
              <w:top w:type="dxa" w:w="80"/>
              <w:left w:type="dxa" w:w="100"/>
              <w:bottom w:type="dxa" w:w="80"/>
              <w:right w:type="dxa" w:w="100"/>
            </w:tcMar>
          </w:tcPr>
          <w:p>
            <w:r>
              <w:rPr>
                <w:b/>
                <w:bCs/>
                <w:color w:val="FFFFFF"/>
                <w:sz w:val="19"/>
                <w:szCs w:val="19"/>
              </w:rPr>
              <w:t xml:space="preserve">Mitigation</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Low SME willingness to pay before disclosure becomes mandatory for them</w:t>
            </w:r>
          </w:p>
        </w:tc>
        <w:tc>
          <w:tcPr>
            <w:tcW w:type="dxa" w:w="0"/>
            <w:shd w:fill="FFFFFF" w:val="clear"/>
            <w:tcMar>
              <w:top w:type="dxa" w:w="80"/>
              <w:left w:type="dxa" w:w="100"/>
              <w:bottom w:type="dxa" w:w="80"/>
              <w:right w:type="dxa" w:w="100"/>
            </w:tcMar>
          </w:tcPr>
          <w:p>
            <w:r>
              <w:rPr>
                <w:b w:val="false"/>
                <w:bCs w:val="false"/>
                <w:color w:val="222222"/>
                <w:sz w:val="19"/>
                <w:szCs w:val="19"/>
              </w:rPr>
              <w:t xml:space="preserve">High</w:t>
            </w:r>
          </w:p>
        </w:tc>
        <w:tc>
          <w:tcPr>
            <w:tcW w:type="dxa" w:w="0"/>
            <w:shd w:fill="FFFFFF" w:val="clear"/>
            <w:tcMar>
              <w:top w:type="dxa" w:w="80"/>
              <w:left w:type="dxa" w:w="100"/>
              <w:bottom w:type="dxa" w:w="80"/>
              <w:right w:type="dxa" w:w="100"/>
            </w:tcMar>
          </w:tcPr>
          <w:p>
            <w:r>
              <w:rPr>
                <w:b w:val="false"/>
                <w:bCs w:val="false"/>
                <w:color w:val="222222"/>
                <w:sz w:val="19"/>
                <w:szCs w:val="19"/>
              </w:rPr>
              <w:t xml:space="preserve">Price low at Basic tier; lead with free materiality assessment as an acquisition hook</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Regulatory framework changes (SEDG v3, NSRF amendments)</w:t>
            </w:r>
          </w:p>
        </w:tc>
        <w:tc>
          <w:tcPr>
            <w:tcW w:type="dxa" w:w="0"/>
            <w:shd w:fill="FFFFFF" w:val="clear"/>
            <w:tcMar>
              <w:top w:type="dxa" w:w="80"/>
              <w:left w:type="dxa" w:w="100"/>
              <w:bottom w:type="dxa" w:w="80"/>
              <w:right w:type="dxa" w:w="100"/>
            </w:tcMar>
          </w:tcPr>
          <w:p>
            <w:r>
              <w:rPr>
                <w:b w:val="false"/>
                <w:bCs w:val="false"/>
                <w:color w:val="222222"/>
                <w:sz w:val="19"/>
                <w:szCs w:val="19"/>
              </w:rPr>
              <w:t xml:space="preserve">Medium</w:t>
            </w:r>
          </w:p>
        </w:tc>
        <w:tc>
          <w:tcPr>
            <w:tcW w:type="dxa" w:w="0"/>
            <w:shd w:fill="FFFFFF" w:val="clear"/>
            <w:tcMar>
              <w:top w:type="dxa" w:w="80"/>
              <w:left w:type="dxa" w:w="100"/>
              <w:bottom w:type="dxa" w:w="80"/>
              <w:right w:type="dxa" w:w="100"/>
            </w:tcMar>
          </w:tcPr>
          <w:p>
            <w:r>
              <w:rPr>
                <w:b w:val="false"/>
                <w:bCs w:val="false"/>
                <w:color w:val="222222"/>
                <w:sz w:val="19"/>
                <w:szCs w:val="19"/>
              </w:rPr>
              <w:t xml:space="preserve">Design indicator schema as configurable data, not hard-coded logic</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Solo founder bandwidth vs. support/sales demands</w:t>
            </w:r>
          </w:p>
        </w:tc>
        <w:tc>
          <w:tcPr>
            <w:tcW w:type="dxa" w:w="0"/>
            <w:shd w:fill="FFFFFF" w:val="clear"/>
            <w:tcMar>
              <w:top w:type="dxa" w:w="80"/>
              <w:left w:type="dxa" w:w="100"/>
              <w:bottom w:type="dxa" w:w="80"/>
              <w:right w:type="dxa" w:w="100"/>
            </w:tcMar>
          </w:tcPr>
          <w:p>
            <w:r>
              <w:rPr>
                <w:b w:val="false"/>
                <w:bCs w:val="false"/>
                <w:color w:val="222222"/>
                <w:sz w:val="19"/>
                <w:szCs w:val="19"/>
              </w:rPr>
              <w:t xml:space="preserve">High</w:t>
            </w:r>
          </w:p>
        </w:tc>
        <w:tc>
          <w:tcPr>
            <w:tcW w:type="dxa" w:w="0"/>
            <w:shd w:fill="FFFFFF" w:val="clear"/>
            <w:tcMar>
              <w:top w:type="dxa" w:w="80"/>
              <w:left w:type="dxa" w:w="100"/>
              <w:bottom w:type="dxa" w:w="80"/>
              <w:right w:type="dxa" w:w="100"/>
            </w:tcMar>
          </w:tcPr>
          <w:p>
            <w:r>
              <w:rPr>
                <w:b w:val="false"/>
                <w:bCs w:val="false"/>
                <w:color w:val="222222"/>
                <w:sz w:val="19"/>
                <w:szCs w:val="19"/>
              </w:rPr>
              <w:t xml:space="preserve">Cap early customer count intentionally; automate onboarding before scaling outreach</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Repeat of prior pivot pattern (SimpliESG precedent)</w:t>
            </w:r>
          </w:p>
        </w:tc>
        <w:tc>
          <w:tcPr>
            <w:tcW w:type="dxa" w:w="0"/>
            <w:shd w:fill="FFFFFF" w:val="clear"/>
            <w:tcMar>
              <w:top w:type="dxa" w:w="80"/>
              <w:left w:type="dxa" w:w="100"/>
              <w:bottom w:type="dxa" w:w="80"/>
              <w:right w:type="dxa" w:w="100"/>
            </w:tcMar>
          </w:tcPr>
          <w:p>
            <w:r>
              <w:rPr>
                <w:b w:val="false"/>
                <w:bCs w:val="false"/>
                <w:color w:val="222222"/>
                <w:sz w:val="19"/>
                <w:szCs w:val="19"/>
              </w:rPr>
              <w:t xml:space="preserve">Medium</w:t>
            </w:r>
          </w:p>
        </w:tc>
        <w:tc>
          <w:tcPr>
            <w:tcW w:type="dxa" w:w="0"/>
            <w:shd w:fill="FFFFFF" w:val="clear"/>
            <w:tcMar>
              <w:top w:type="dxa" w:w="80"/>
              <w:left w:type="dxa" w:w="100"/>
              <w:bottom w:type="dxa" w:w="80"/>
              <w:right w:type="dxa" w:w="100"/>
            </w:tcMar>
          </w:tcPr>
          <w:p>
            <w:r>
              <w:rPr>
                <w:b w:val="false"/>
                <w:bCs w:val="false"/>
                <w:color w:val="222222"/>
                <w:sz w:val="19"/>
                <w:szCs w:val="19"/>
              </w:rPr>
              <w:t xml:space="preserve">Validate with 3–5 paying pilot customers before expanding scope</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Competitive entry from funded ESG platforms moving down-market</w:t>
            </w:r>
          </w:p>
        </w:tc>
        <w:tc>
          <w:tcPr>
            <w:tcW w:type="dxa" w:w="0"/>
            <w:shd w:fill="FFFFFF" w:val="clear"/>
            <w:tcMar>
              <w:top w:type="dxa" w:w="80"/>
              <w:left w:type="dxa" w:w="100"/>
              <w:bottom w:type="dxa" w:w="80"/>
              <w:right w:type="dxa" w:w="100"/>
            </w:tcMar>
          </w:tcPr>
          <w:p>
            <w:r>
              <w:rPr>
                <w:b w:val="false"/>
                <w:bCs w:val="false"/>
                <w:color w:val="222222"/>
                <w:sz w:val="19"/>
                <w:szCs w:val="19"/>
              </w:rPr>
              <w:t xml:space="preserve">Medium</w:t>
            </w:r>
          </w:p>
        </w:tc>
        <w:tc>
          <w:tcPr>
            <w:tcW w:type="dxa" w:w="0"/>
            <w:shd w:fill="FFFFFF" w:val="clear"/>
            <w:tcMar>
              <w:top w:type="dxa" w:w="80"/>
              <w:left w:type="dxa" w:w="100"/>
              <w:bottom w:type="dxa" w:w="80"/>
              <w:right w:type="dxa" w:w="100"/>
            </w:tcMar>
          </w:tcPr>
          <w:p>
            <w:r>
              <w:rPr>
                <w:b w:val="false"/>
                <w:bCs w:val="false"/>
                <w:color w:val="222222"/>
                <w:sz w:val="19"/>
                <w:szCs w:val="19"/>
              </w:rPr>
              <w:t xml:space="preserve">Move fast on the SME-specific workflow depth (materiality + governance) as differentiation</w:t>
            </w:r>
          </w:p>
        </w:tc>
      </w:tr>
    </w:tbl>
    <w:p>
      <w:pPr>
        <w:pStyle w:val="Heading1"/>
        <w:spacing w:after="200" w:before="400"/>
      </w:pPr>
      <w:r>
        <w:rPr>
          <w:b/>
          <w:bCs/>
          <w:color w:val="1F3A5F"/>
          <w:sz w:val="30"/>
          <w:szCs w:val="30"/>
        </w:rPr>
        <w:t xml:space="preserve">11. Success Metrics</w:t>
      </w:r>
    </w:p>
    <w:p>
      <w:pPr>
        <w:pStyle w:val="ListParagraph"/>
        <w:numPr>
          <w:ilvl w:val="0"/>
          <w:numId w:val="3"/>
        </w:numPr>
        <w:spacing w:after="80" w:line="270"/>
      </w:pPr>
      <w:r>
        <w:rPr>
          <w:color w:val="222222"/>
          <w:sz w:val="21"/>
          <w:szCs w:val="21"/>
        </w:rPr>
        <w:t xml:space="preserve">3–5 paying pilot customers within the first 6 months post-launch (validation gate before further investment).</w:t>
      </w:r>
    </w:p>
    <w:p>
      <w:pPr>
        <w:pStyle w:val="ListParagraph"/>
        <w:numPr>
          <w:ilvl w:val="0"/>
          <w:numId w:val="3"/>
        </w:numPr>
        <w:spacing w:after="80" w:line="270"/>
      </w:pPr>
      <w:r>
        <w:rPr>
          <w:color w:val="222222"/>
          <w:sz w:val="21"/>
          <w:szCs w:val="21"/>
        </w:rPr>
        <w:t xml:space="preserve">Customer retention above 80% at 12 months for pilot cohort.</w:t>
      </w:r>
    </w:p>
    <w:p>
      <w:pPr>
        <w:pStyle w:val="ListParagraph"/>
        <w:numPr>
          <w:ilvl w:val="0"/>
          <w:numId w:val="3"/>
        </w:numPr>
        <w:spacing w:after="80" w:line="270"/>
      </w:pPr>
      <w:r>
        <w:rPr>
          <w:color w:val="222222"/>
          <w:sz w:val="21"/>
          <w:szCs w:val="21"/>
        </w:rPr>
        <w:t xml:space="preserve">Average time to complete first disclosure cycle under 4 hours (vs. multi-week consultant engagements).</w:t>
      </w:r>
    </w:p>
    <w:p>
      <w:pPr>
        <w:pStyle w:val="ListParagraph"/>
        <w:numPr>
          <w:ilvl w:val="0"/>
          <w:numId w:val="3"/>
        </w:numPr>
        <w:spacing w:after="80" w:line="270"/>
      </w:pPr>
      <w:r>
        <w:rPr>
          <w:color w:val="222222"/>
          <w:sz w:val="21"/>
          <w:szCs w:val="21"/>
        </w:rPr>
        <w:t xml:space="preserve">20–50 paying customers by end of Year 2, per the Year 2 revenue scenario discussed with the founder.</w:t>
      </w:r>
    </w:p>
    <w:p>
      <w:pPr>
        <w:pStyle w:val="Heading1"/>
        <w:spacing w:after="200" w:before="400"/>
      </w:pPr>
      <w:r>
        <w:rPr>
          <w:b/>
          <w:bCs/>
          <w:color w:val="1F3A5F"/>
          <w:sz w:val="30"/>
          <w:szCs w:val="30"/>
        </w:rPr>
        <w:t xml:space="preserve">12. Approval</w:t>
      </w:r>
    </w:p>
    <w:p>
      <w:pPr>
        <w:spacing w:after="160" w:line="276"/>
      </w:pPr>
      <w:r>
        <w:rPr>
          <w:color w:val="222222"/>
          <w:sz w:val="21"/>
          <w:szCs w:val="21"/>
        </w:rPr>
        <w:t xml:space="preserve">This BRD is a working draft intended to guide PRD and SRS development. It should be revisited after pilot customer validation.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BRD — SDG/ESG SME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2026-07-02T17:56:13.670Z</dcterms:created>
  <dcterms:modified xsi:type="dcterms:W3CDTF">2026-07-02T17:56:13.683Z</dcterms:modified>
</cp:coreProperties>
</file>

<file path=docProps/custom.xml><?xml version="1.0" encoding="utf-8"?>
<Properties xmlns="http://schemas.openxmlformats.org/officeDocument/2006/custom-properties" xmlns:vt="http://schemas.openxmlformats.org/officeDocument/2006/docPropsVTypes"/>
</file>