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2E7D5B"/>
          <w:sz w:val="28"/>
          <w:szCs w:val="28"/>
        </w:rPr>
        <w:t xml:space="preserve">PRODUCT REQUIREMENTS DOCUMENT</w:t>
      </w:r>
    </w:p>
    <w:p>
      <w:pPr>
        <w:spacing w:after="200"/>
        <w:jc w:val="center"/>
      </w:pPr>
      <w:r>
        <w:rPr>
          <w:b/>
          <w:bCs/>
          <w:color w:val="1F3A5F"/>
          <w:sz w:val="44"/>
          <w:szCs w:val="44"/>
        </w:rPr>
        <w:t xml:space="preserve">SDG/ESG Compliance Platform</w:t>
      </w: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A SEDG-aligned sustainability disclosure platform for Malaysian SMEs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Prepared for: Sarvess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Market: Malaysia (SME / SEDG-aligned segment)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Version 1.0 — July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Related Document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BRD_SDG_ESG_Platform.docx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July 2026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Author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Sarvess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Product Overview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 tiered SaaS platform covering the full spectrum of Malaysian ESG disclosure needs: from SMEs producing their first SEDG-aligned disclosure, through growing SMEs with recurring buyer/bank requests, up to Main Market and ACE Market listed issuers who need a data-management and assurance-readiness layer ahead of submitting through Bursa's mandatory Centralised Sustainability Intelligence (CSI) platform.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Positioning note: for listed issuers, Bursa's CSI platform is the mandatory, free, sole official reporting channel as of December 2025 — this product does not replace CSI. The Issuer-Ready plan's role is to be the internal workspace where sustainability teams collect, validate, assure, and organise data (including IFRS S1/S2 structured disclosures) before transferring the finalised output into CSI. That readiness-and-validation layer is where genuine product value exists for this segment.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Target Users / Personas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Persona 1 — SME Sustainability Owner ("Mei Ling") — Starter / Growth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Finance manager or admin lead at a 30–150 employee manufacturing or logistics SME, ESG responsibility added to an existing role.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No formal sustainability training; received a supplier ESG data request from a large buyer or bank.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Needs: a clear starting point, minimal jargon, low time investment, defensible output to send to the requester.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Persona 2 — ESG Consultant / Advisor ("Farah") — cross-plan add-on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Independent consultant or small advisory firm supporting multiple SME and/or issuer clients.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Needs: a tool to manage several client accounts efficiently, replacing manual spreadsheet templates.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Persona 3 — Issuer Sustainability Manager ("Kevin") — Issuer-Ready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Sustainability or finance team member at a Main Market or ACE Market listed issuer, responsible for coordinating IFRS S1/S2 data collection across departments and eventual CSI submission.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Needs: a structured internal workspace with audit trail, multi-year tracking, assurance-ready documentation, and a clean CSI-compatible export, replacing scattered spreadsheets and email threads across departments.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Persona 4 — Buyer / Data Requester (secondary, non-paying)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Procurement or sustainability team at a large issuer requesting supplier ESG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Needs: a consistent, comparable data format across suppliers, served indirectly via the platform's export format.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Goals and Non-Goals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Goals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22222"/>
          <w:sz w:val="21"/>
          <w:szCs w:val="21"/>
        </w:rPr>
        <w:t xml:space="preserve">Let an SME complete a first materiality assessment and baseline disclosure in under a day, without external help.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22222"/>
          <w:sz w:val="21"/>
          <w:szCs w:val="21"/>
        </w:rPr>
        <w:t xml:space="preserve">Make multi-year indicator tracking and target-setting easier to maintain than a spreadsheet.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22222"/>
          <w:sz w:val="21"/>
          <w:szCs w:val="21"/>
        </w:rPr>
        <w:t xml:space="preserve">Provide export output that a buyer, bank, or auditor will accept as a credible disclosure summary.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22222"/>
          <w:sz w:val="21"/>
          <w:szCs w:val="21"/>
        </w:rPr>
        <w:t xml:space="preserve">Validate willingness to pay with a small pilot cohort before expanding scope.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Cover the complete Bursa-relevant disclosure landscape across three plans, so the product's ceiling is not artificially capped at SME scope.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Non-Goals (all phases)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Replacing or integrating directly with Bursa's CSI platform — no public integration channel exists; the Issuer-Ready plan is a pre-CSI readiness layer, not a submission channel.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Acting as the statutory system of record for a Sustainability Statement — issuers remain responsible for final CSI submission and statutory filing.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Performing the external assurance itself — the platform prepares assurance-ready documentation but does not replace a licensed assurance provider.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Feature Set</w:t>
      </w:r>
    </w:p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5.1 Onboarding &amp; Company Profile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5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Company setup wizard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 company size, sector, and reason for adoption (buyer request, bank request, voluntary)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Sector tagging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Tag company to a sector for future sector-specific indicator relevance (pilot: Manufacturing)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selection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Choose Basic / Intermediate / Advanced maturity tier, mirroring SEDG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5.2 Materiality Assessment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5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Stakeholder mapping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Identify relevant stakeholder groups (employees, customers, investors, community, regulators)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Matter prioritisation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Score the 11 common sustainability matters by impact and stakeholder influence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Materiality matrix output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Visual matrix + ranked list, exportable, used to guide which indicators to prioritise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5.3 Governance 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5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Governance structure builder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oversight, strategic management, and day-to-day roles for sustainability accountability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Roles &amp; responsibilities log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Assign named/role-based owners per sustainability matter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5.4 Indicator Data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4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Common [C] indicator forms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Structured input for all 11 matters / ~24 sub-indicators (anti-corruption, emissions, waste, etc.)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Multi-year data table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 and display at least 3 financial years per indicator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vs. actual tracking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performance targets per indicator and compare against actuals over time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Pilot sector-specific [S] indicators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pilot sector module (e.g. Manufacturing) with additional relevant indicators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source / audit trail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who entered each data point, when, and optional source document reference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5.5 Reporting &amp; Export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4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Disclosure summary export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Generate a formatted PDF/Word summary suitable for buyer, bank, or annual-report input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Progress dashboard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At-a-glance view of completion status across the 11 matters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Benchmark view (future)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Compare anonymised performance against sector peers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5.6 Account &amp; Billing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4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Tiered subscription billing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Basic / Intermediate / Advanced pricing tiers, monthly or annual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Consultant multi-client view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 a consultant account to manage multiple SME client instances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A5F"/>
          <w:sz w:val="24"/>
          <w:szCs w:val="24"/>
        </w:rPr>
        <w:t xml:space="preserve">5.7 Issuer-Ready Plan Features (IFRS S1/S2, complete Bursa coverage)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5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Market-aware matter set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Auto-applies 9 Common Sustainability Matters for Main Market or 11 for ACE Market (9 + waste + emissions)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IFRS S1 general disclosures module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Structured capture of material sustainability-related risks/opportunities per IFRS S1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IFRS S2 climate module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Governance, strategy, risk management, and metrics/targets for climate, absorbing what was formerly the standalone TCFD chapter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Scope 1/2/3 GHG tracking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Including climate-first transition relief handling and principal-business-segment scoping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Assurance-readiness workspace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Structured audit trail, internal review sign-off, and documentation packaging aligned to what external assurance providers require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CSI-compatible export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Generates output structured to match Bursa's CSI data requirements for manual transfer into CSI by the issuer's team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Multi-sector indicator library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Bursa sector classification coverage, not limited to one pilot sector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Multi-department contributor roles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Allow multiple internal contributors (e.g. HR, EHS, finance) to own specific matters within one issuer account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Pricing Tiers (proposed)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1700"/>
      </w:tblGrid>
      <w:tr>
        <w:trPr>
          <w:tblHeader/>
        </w:trPr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Price (RM/month, indicative)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SME, first-time voluntary disclosure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SEDG Basic tier, guided materiality, single-year data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99–199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Growth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 with recurring buyer/bank requests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SEDG (35 disclosures), 3-year tracking, governance, 1 sector module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299–399</w:t>
            </w:r>
          </w:p>
        </w:tc>
      </w:tr>
      <w:t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Issuer-Ready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Main/ACE Market issuers, large non-listed companies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IFRS S1/S2, full Scope 1-3, assurance-readiness, CSI-compatible export, multi-sector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1,500–4,000+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Issuer-Ready pricing sits at enterprise SaaS levels reflecting its scope and buyer profile; it should be validated with 1–2 design-partner issuers before being finalised. Starter/Growth pricing should be validated with pilot SME customers per the BRD's success metrics gate.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Release Plan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Phase 1 — Starter MVP (Months 1–4, solo build)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Company setup, materiality assessment, SEDG Basic-tier indicator forms, basic export.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Target: 3–5 pilot SME customers, free or heavily discounted, in exchange for feedback.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Phase 2 — Growth Plan &amp; Paid Launch (Months 5–8)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Full SEDG indicator set, multi-year tracking, target-setting, governance module, tiered billing.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Target: convert pilots to paying customers; onboard first cohort at list price.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Phase 3 — SME Expansion (Months 9–14)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Pilot sector-specific indicator module, audit trail, consultant multi-client view.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Target: 20–50 paying SME customers (Year 2 scenario).</w:t>
      </w:r>
    </w:p>
    <w:p>
      <w:pPr>
        <w:pStyle w:val="Heading3"/>
        <w:spacing w:after="100" w:before="200"/>
      </w:pPr>
      <w:r>
        <w:rPr>
          <w:b/>
          <w:bCs/>
          <w:color w:val="2E7D5B"/>
          <w:sz w:val="21"/>
          <w:szCs w:val="21"/>
        </w:rPr>
        <w:t xml:space="preserve">Phase 4 — Issuer-Ready Plan (Months 15+, gated on SME traction and/or a design-partner issuer)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IFRS S1/S2 modules, full Scope 1-3, assurance-readiness workspace, CSI-compatible export, multi-sector coverage.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This phase should not start until either SME revenue funds it, or a listed-issuer design partner is secured — the scope here is materially larger than Starter/Growth and mis-sequencing it risks repeating the multi-project focus problem from prior ventures.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Success Metrics / KPIs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Activation: % of signups completing materiality assessment within 7 days.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Time-to-first-disclosure: median hours from signup to first completed export.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Paid conversion rate from pilot to paying tier.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Net revenue retention at 12 months.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Customer count and revenue vs. the Year 1/2/3 scenarios previously modelled.</w:t>
      </w:r>
    </w:p>
    <w:p>
      <w:pPr>
        <w:pStyle w:val="Heading1"/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Which pilot sector should be the first sector-specific module — Manufacturing (largest SME base) or another sector with a clearer buyer-driven demand signal?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Should consultant/auditor accounts be a Phase 1 acquisition channel rather than a later feature?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Is Bahasa Malaysia localisation needed for Phase 1 or can it wait, given SEDG itself offers a Bahasa Malaysia version?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PRD — SDG/ESG SME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2026-07-02T17:56:14.106Z</dcterms:created>
  <dcterms:modified xsi:type="dcterms:W3CDTF">2026-07-02T17:56:14.106Z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