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2E7D5B"/>
          <w:sz w:val="28"/>
          <w:szCs w:val="28"/>
        </w:rPr>
        <w:t xml:space="preserve">SOFTWARE REQUIREMENTS SPECIFICATION</w:t>
      </w:r>
    </w:p>
    <w:p>
      <w:pPr>
        <w:spacing w:after="200"/>
        <w:jc w:val="center"/>
      </w:pPr>
      <w:r>
        <w:rPr>
          <w:b/>
          <w:bCs/>
          <w:color w:val="1F3A5F"/>
          <w:sz w:val="44"/>
          <w:szCs w:val="44"/>
        </w:rPr>
        <w:t xml:space="preserve">SDG/ESG Compliance Platform</w:t>
      </w:r>
    </w:p>
    <w:p>
      <w:pPr>
        <w:spacing w:after="800"/>
        <w:jc w:val="center"/>
      </w:pPr>
      <w:r>
        <w:rPr>
          <w:color w:val="595959"/>
          <w:sz w:val="24"/>
          <w:szCs w:val="24"/>
        </w:rPr>
        <w:t xml:space="preserve">A SEDG-aligned sustainability disclosure platform for Malaysian SMEs</w:t>
      </w:r>
    </w:p>
    <w:p>
      <w:pPr>
        <w:spacing w:after="80"/>
        <w:jc w:val="center"/>
      </w:pPr>
      <w:r>
        <w:rPr>
          <w:color w:val="595959"/>
          <w:sz w:val="20"/>
          <w:szCs w:val="20"/>
        </w:rPr>
        <w:t xml:space="preserve">Prepared for: Sarvess</w:t>
      </w:r>
    </w:p>
    <w:p>
      <w:pPr>
        <w:spacing w:after="80"/>
        <w:jc w:val="center"/>
      </w:pPr>
      <w:r>
        <w:rPr>
          <w:color w:val="595959"/>
          <w:sz w:val="20"/>
          <w:szCs w:val="20"/>
        </w:rPr>
        <w:t xml:space="preserve">Market: Malaysia (SME / SEDG-aligned segment)</w:t>
      </w:r>
    </w:p>
    <w:p>
      <w:pPr>
        <w:spacing w:after="80"/>
        <w:jc w:val="center"/>
      </w:pPr>
      <w:r>
        <w:rPr>
          <w:color w:val="595959"/>
          <w:sz w:val="20"/>
          <w:szCs w:val="20"/>
        </w:rPr>
        <w:t xml:space="preserve">Version 1.0 — July 2026</w:t>
      </w:r>
    </w:p>
    <w:p>
      <w:r>
        <w:br w:type="page"/>
      </w:r>
    </w:p>
    <w:p>
      <w:pPr>
        <w:pStyle w:val="Heading1"/>
        <w:spacing w:after="200" w:before="400"/>
      </w:pPr>
      <w:r>
        <w:rPr>
          <w:b/>
          <w:bCs/>
          <w:color w:val="1F3A5F"/>
          <w:sz w:val="30"/>
          <w:szCs w:val="30"/>
        </w:rPr>
        <w:t xml:space="preserve">1.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Field</w:t>
            </w:r>
          </w:p>
        </w:tc>
        <w:tc>
          <w:tcPr>
            <w:tcW w:type="dxa" w:w="0"/>
            <w:shd w:fill="1F3A5F" w:val="clear"/>
            <w:tcMar>
              <w:top w:type="dxa" w:w="80"/>
              <w:left w:type="dxa" w:w="100"/>
              <w:bottom w:type="dxa" w:w="80"/>
              <w:right w:type="dxa" w:w="100"/>
            </w:tcMar>
          </w:tcPr>
          <w:p>
            <w:r>
              <w:rPr>
                <w:b/>
                <w:bCs/>
                <w:color w:val="FFFFFF"/>
                <w:sz w:val="19"/>
                <w:szCs w:val="19"/>
              </w:rPr>
              <w:t xml:space="preserve">Detail</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Document Type</w:t>
            </w:r>
          </w:p>
        </w:tc>
        <w:tc>
          <w:tcPr>
            <w:tcW w:type="dxa" w:w="0"/>
            <w:shd w:fill="FFFFFF" w:val="clear"/>
            <w:tcMar>
              <w:top w:type="dxa" w:w="80"/>
              <w:left w:type="dxa" w:w="100"/>
              <w:bottom w:type="dxa" w:w="80"/>
              <w:right w:type="dxa" w:w="100"/>
            </w:tcMar>
          </w:tcPr>
          <w:p>
            <w:r>
              <w:rPr>
                <w:b w:val="false"/>
                <w:bCs w:val="false"/>
                <w:color w:val="222222"/>
                <w:sz w:val="19"/>
                <w:szCs w:val="19"/>
              </w:rPr>
              <w:t xml:space="preserve">Software Requirements Specification (SRS)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Related Documents</w:t>
            </w:r>
          </w:p>
        </w:tc>
        <w:tc>
          <w:tcPr>
            <w:tcW w:type="dxa" w:w="0"/>
            <w:shd w:fill="FFFFFF" w:val="clear"/>
            <w:tcMar>
              <w:top w:type="dxa" w:w="80"/>
              <w:left w:type="dxa" w:w="100"/>
              <w:bottom w:type="dxa" w:w="80"/>
              <w:right w:type="dxa" w:w="100"/>
            </w:tcMar>
          </w:tcPr>
          <w:p>
            <w:r>
              <w:rPr>
                <w:b w:val="false"/>
                <w:bCs w:val="false"/>
                <w:color w:val="222222"/>
                <w:sz w:val="19"/>
                <w:szCs w:val="19"/>
              </w:rPr>
              <w:t xml:space="preserve">BRD_SDG_ESG_Platform.docx, PRD_SDG_ESG_Platform.docx</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Version</w:t>
            </w:r>
          </w:p>
        </w:tc>
        <w:tc>
          <w:tcPr>
            <w:tcW w:type="dxa" w:w="0"/>
            <w:shd w:fill="FFFFFF" w:val="clear"/>
            <w:tcMar>
              <w:top w:type="dxa" w:w="80"/>
              <w:left w:type="dxa" w:w="100"/>
              <w:bottom w:type="dxa" w:w="80"/>
              <w:right w:type="dxa" w:w="100"/>
            </w:tcMar>
          </w:tcPr>
          <w:p>
            <w:r>
              <w:rPr>
                <w:b w:val="false"/>
                <w:bCs w:val="false"/>
                <w:color w:val="222222"/>
                <w:sz w:val="19"/>
                <w:szCs w:val="19"/>
              </w:rPr>
              <w:t xml:space="preserve">1.0</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Date</w:t>
            </w:r>
          </w:p>
        </w:tc>
        <w:tc>
          <w:tcPr>
            <w:tcW w:type="dxa" w:w="0"/>
            <w:shd w:fill="FFFFFF" w:val="clear"/>
            <w:tcMar>
              <w:top w:type="dxa" w:w="80"/>
              <w:left w:type="dxa" w:w="100"/>
              <w:bottom w:type="dxa" w:w="80"/>
              <w:right w:type="dxa" w:w="100"/>
            </w:tcMar>
          </w:tcPr>
          <w:p>
            <w:r>
              <w:rPr>
                <w:b w:val="false"/>
                <w:bCs w:val="false"/>
                <w:color w:val="222222"/>
                <w:sz w:val="19"/>
                <w:szCs w:val="19"/>
              </w:rPr>
              <w:t xml:space="preserve">July 2026</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Author</w:t>
            </w:r>
          </w:p>
        </w:tc>
        <w:tc>
          <w:tcPr>
            <w:tcW w:type="dxa" w:w="0"/>
            <w:shd w:fill="FFFFFF" w:val="clear"/>
            <w:tcMar>
              <w:top w:type="dxa" w:w="80"/>
              <w:left w:type="dxa" w:w="100"/>
              <w:bottom w:type="dxa" w:w="80"/>
              <w:right w:type="dxa" w:w="100"/>
            </w:tcMar>
          </w:tcPr>
          <w:p>
            <w:r>
              <w:rPr>
                <w:b w:val="false"/>
                <w:bCs w:val="false"/>
                <w:color w:val="222222"/>
                <w:sz w:val="19"/>
                <w:szCs w:val="19"/>
              </w:rPr>
              <w:t xml:space="preserve">Sarvess</w:t>
            </w:r>
          </w:p>
        </w:tc>
      </w:tr>
    </w:tbl>
    <w:p>
      <w:pPr>
        <w:spacing w:after="300"/>
      </w:pPr>
    </w:p>
    <w:p>
      <w:pPr>
        <w:pStyle w:val="Heading1"/>
        <w:spacing w:after="200" w:before="400"/>
      </w:pPr>
      <w:r>
        <w:rPr>
          <w:b/>
          <w:bCs/>
          <w:color w:val="1F3A5F"/>
          <w:sz w:val="30"/>
          <w:szCs w:val="30"/>
        </w:rPr>
        <w:t xml:space="preserve">2. Introduction</w:t>
      </w:r>
    </w:p>
    <w:p>
      <w:pPr>
        <w:pStyle w:val="Heading3"/>
        <w:spacing w:after="100" w:before="200"/>
      </w:pPr>
      <w:r>
        <w:rPr>
          <w:b/>
          <w:bCs/>
          <w:color w:val="2E7D5B"/>
          <w:sz w:val="21"/>
          <w:szCs w:val="21"/>
        </w:rPr>
        <w:t xml:space="preserve">2.1 Purpose</w:t>
      </w:r>
    </w:p>
    <w:p>
      <w:pPr>
        <w:spacing w:after="160" w:line="276"/>
      </w:pPr>
      <w:r>
        <w:rPr>
          <w:color w:val="222222"/>
          <w:sz w:val="21"/>
          <w:szCs w:val="21"/>
        </w:rPr>
        <w:t xml:space="preserve">This SRS defines the functional and non-functional software requirements for the SDG/ESG SME disclosure platform described in the PRD. It is intended to guide technical design and implementation.</w:t>
      </w:r>
    </w:p>
    <w:p>
      <w:pPr>
        <w:pStyle w:val="Heading3"/>
        <w:spacing w:after="100" w:before="200"/>
      </w:pPr>
      <w:r>
        <w:rPr>
          <w:b/>
          <w:bCs/>
          <w:color w:val="2E7D5B"/>
          <w:sz w:val="21"/>
          <w:szCs w:val="21"/>
        </w:rPr>
        <w:t xml:space="preserve">2.2 Scope</w:t>
      </w:r>
    </w:p>
    <w:p>
      <w:pPr>
        <w:spacing w:after="160" w:line="276"/>
      </w:pPr>
      <w:r>
        <w:rPr>
          <w:color w:val="222222"/>
          <w:sz w:val="21"/>
          <w:szCs w:val="21"/>
        </w:rPr>
        <w:t xml:space="preserve">The system is a multi-tenant, plan-gated web-based SaaS application spanning three plans: Starter and Growth (SME, SEDG-aligned, voluntary disclosure) and Issuer-Ready (Main/ACE Market listed issuers and large non-listed companies, IFRS S1/S2-aligned). All plans share the same materiality assessment, governance documentation, and multi-year indicator tracking core; the Issuer-Ready plan adds IFRS S1/S2 structured modules, full Scope 1-3 tracking, an assurance-readiness workspace, and CSI-compatible export. The system does not integrate with or submit data to Bursa's CSI platform directly — CSI remains the issuer's mandatory official submission channel.</w:t>
      </w:r>
    </w:p>
    <w:p>
      <w:pPr>
        <w:pStyle w:val="Heading3"/>
        <w:spacing w:after="100" w:before="200"/>
      </w:pPr>
      <w:r>
        <w:rPr>
          <w:b/>
          <w:bCs/>
          <w:color w:val="2E7D5B"/>
          <w:sz w:val="21"/>
          <w:szCs w:val="21"/>
        </w:rPr>
        <w:t xml:space="preserve">2.3 Definitions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Term</w:t>
            </w:r>
          </w:p>
        </w:tc>
        <w:tc>
          <w:tcPr>
            <w:tcW w:type="dxa" w:w="0"/>
            <w:shd w:fill="1F3A5F" w:val="clear"/>
            <w:tcMar>
              <w:top w:type="dxa" w:w="80"/>
              <w:left w:type="dxa" w:w="100"/>
              <w:bottom w:type="dxa" w:w="80"/>
              <w:right w:type="dxa" w:w="100"/>
            </w:tcMar>
          </w:tcPr>
          <w:p>
            <w:r>
              <w:rPr>
                <w:b/>
                <w:bCs/>
                <w:color w:val="FFFFFF"/>
                <w:sz w:val="19"/>
                <w:szCs w:val="19"/>
              </w:rPr>
              <w:t xml:space="preserve">Definition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Common Sustainability Matter</w:t>
            </w:r>
          </w:p>
        </w:tc>
        <w:tc>
          <w:tcPr>
            <w:tcW w:type="dxa" w:w="0"/>
            <w:shd w:fill="FFFFFF" w:val="clear"/>
            <w:tcMar>
              <w:top w:type="dxa" w:w="80"/>
              <w:left w:type="dxa" w:w="100"/>
              <w:bottom w:type="dxa" w:w="80"/>
              <w:right w:type="dxa" w:w="100"/>
            </w:tcMar>
          </w:tcPr>
          <w:p>
            <w:r>
              <w:rPr>
                <w:b w:val="false"/>
                <w:bCs w:val="false"/>
                <w:color w:val="222222"/>
                <w:sz w:val="19"/>
                <w:szCs w:val="19"/>
              </w:rPr>
              <w:t xml:space="preserve">A material sustainability matter applicable to all companies of a given market regardless of sector; 9 matters for Main Market issuers, 11 for ACE Market issuers (9 plus waste management and emissions), per Bursa Malaysia's Listing Requirements as amended 23 December 2024</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Sector-specific Indicator</w:t>
            </w:r>
          </w:p>
        </w:tc>
        <w:tc>
          <w:tcPr>
            <w:tcW w:type="dxa" w:w="0"/>
            <w:shd w:fill="FFFFFF" w:val="clear"/>
            <w:tcMar>
              <w:top w:type="dxa" w:w="80"/>
              <w:left w:type="dxa" w:w="100"/>
              <w:bottom w:type="dxa" w:w="80"/>
              <w:right w:type="dxa" w:w="100"/>
            </w:tcMar>
          </w:tcPr>
          <w:p>
            <w:r>
              <w:rPr>
                <w:b w:val="false"/>
                <w:bCs w:val="false"/>
                <w:color w:val="222222"/>
                <w:sz w:val="19"/>
                <w:szCs w:val="19"/>
              </w:rPr>
              <w:t xml:space="preserve">Indicator applicable only to companies in a specific sector, per Bursa's sector classification or SEDG's sector guides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SEDG</w:t>
            </w:r>
          </w:p>
        </w:tc>
        <w:tc>
          <w:tcPr>
            <w:tcW w:type="dxa" w:w="0"/>
            <w:shd w:fill="FFFFFF" w:val="clear"/>
            <w:tcMar>
              <w:top w:type="dxa" w:w="80"/>
              <w:left w:type="dxa" w:w="100"/>
              <w:bottom w:type="dxa" w:w="80"/>
              <w:right w:type="dxa" w:w="100"/>
            </w:tcMar>
          </w:tcPr>
          <w:p>
            <w:r>
              <w:rPr>
                <w:b w:val="false"/>
                <w:bCs w:val="false"/>
                <w:color w:val="222222"/>
                <w:sz w:val="19"/>
                <w:szCs w:val="19"/>
              </w:rPr>
              <w:t xml:space="preserve">Simplified ESG Disclosure Guide, published by Capital Markets Malaysia, the voluntary SME-facing disclosure framework</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NSRF</w:t>
            </w:r>
          </w:p>
        </w:tc>
        <w:tc>
          <w:tcPr>
            <w:tcW w:type="dxa" w:w="0"/>
            <w:shd w:fill="FFFFFF" w:val="clear"/>
            <w:tcMar>
              <w:top w:type="dxa" w:w="80"/>
              <w:left w:type="dxa" w:w="100"/>
              <w:bottom w:type="dxa" w:w="80"/>
              <w:right w:type="dxa" w:w="100"/>
            </w:tcMar>
          </w:tcPr>
          <w:p>
            <w:r>
              <w:rPr>
                <w:b w:val="false"/>
                <w:bCs w:val="false"/>
                <w:color w:val="222222"/>
                <w:sz w:val="19"/>
                <w:szCs w:val="19"/>
              </w:rPr>
              <w:t xml:space="preserve">National Sustainability Reporting Framework, launched by the Securities Commission Malaysia, 24 September 2024</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CSI</w:t>
            </w:r>
          </w:p>
        </w:tc>
        <w:tc>
          <w:tcPr>
            <w:tcW w:type="dxa" w:w="0"/>
            <w:shd w:fill="FFFFFF" w:val="clear"/>
            <w:tcMar>
              <w:top w:type="dxa" w:w="80"/>
              <w:left w:type="dxa" w:w="100"/>
              <w:bottom w:type="dxa" w:w="80"/>
              <w:right w:type="dxa" w:w="100"/>
            </w:tcMar>
          </w:tcPr>
          <w:p>
            <w:r>
              <w:rPr>
                <w:b w:val="false"/>
                <w:bCs w:val="false"/>
                <w:color w:val="222222"/>
                <w:sz w:val="19"/>
                <w:szCs w:val="19"/>
              </w:rPr>
              <w:t xml:space="preserve">Bursa Malaysia's Centralised Sustainability Intelligence platform; the mandatory, free, sole official disclosure-generation channel for listed issuers since 15 December 2025</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IFRS S1 / IFRS S2</w:t>
            </w:r>
          </w:p>
        </w:tc>
        <w:tc>
          <w:tcPr>
            <w:tcW w:type="dxa" w:w="0"/>
            <w:shd w:fill="FFFFFF" w:val="clear"/>
            <w:tcMar>
              <w:top w:type="dxa" w:w="80"/>
              <w:left w:type="dxa" w:w="100"/>
              <w:bottom w:type="dxa" w:w="80"/>
              <w:right w:type="dxa" w:w="100"/>
            </w:tcMar>
          </w:tcPr>
          <w:p>
            <w:r>
              <w:rPr>
                <w:b w:val="false"/>
                <w:bCs w:val="false"/>
                <w:color w:val="222222"/>
                <w:sz w:val="19"/>
                <w:szCs w:val="19"/>
              </w:rPr>
              <w:t xml:space="preserve">ISSB sustainability disclosure standards mandated for Malaysian listed issuers under the NSRF; S1 covers general sustainability-related risks/opportunities, S2 covers climate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Materiality Assessment</w:t>
            </w:r>
          </w:p>
        </w:tc>
        <w:tc>
          <w:tcPr>
            <w:tcW w:type="dxa" w:w="0"/>
            <w:shd w:fill="FFFFFF" w:val="clear"/>
            <w:tcMar>
              <w:top w:type="dxa" w:w="80"/>
              <w:left w:type="dxa" w:w="100"/>
              <w:bottom w:type="dxa" w:w="80"/>
              <w:right w:type="dxa" w:w="100"/>
            </w:tcMar>
          </w:tcPr>
          <w:p>
            <w:r>
              <w:rPr>
                <w:b w:val="false"/>
                <w:bCs w:val="false"/>
                <w:color w:val="222222"/>
                <w:sz w:val="19"/>
                <w:szCs w:val="19"/>
              </w:rPr>
              <w:t xml:space="preserve">Process of identifying and prioritising sustainability matters relevant to a company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Tenant</w:t>
            </w:r>
          </w:p>
        </w:tc>
        <w:tc>
          <w:tcPr>
            <w:tcW w:type="dxa" w:w="0"/>
            <w:shd w:fill="FFFFFF" w:val="clear"/>
            <w:tcMar>
              <w:top w:type="dxa" w:w="80"/>
              <w:left w:type="dxa" w:w="100"/>
              <w:bottom w:type="dxa" w:w="80"/>
              <w:right w:type="dxa" w:w="100"/>
            </w:tcMar>
          </w:tcPr>
          <w:p>
            <w:r>
              <w:rPr>
                <w:b w:val="false"/>
                <w:bCs w:val="false"/>
                <w:color w:val="222222"/>
                <w:sz w:val="19"/>
                <w:szCs w:val="19"/>
              </w:rPr>
              <w:t xml:space="preserve">A single company account within the multi-tenant system</w:t>
            </w:r>
          </w:p>
        </w:tc>
      </w:tr>
    </w:tbl>
    <w:p>
      <w:pPr>
        <w:pStyle w:val="Heading3"/>
        <w:spacing w:after="100" w:before="200"/>
      </w:pPr>
      <w:r>
        <w:rPr>
          <w:b/>
          <w:bCs/>
          <w:color w:val="2E7D5B"/>
          <w:sz w:val="21"/>
          <w:szCs w:val="21"/>
        </w:rPr>
        <w:t xml:space="preserve">2.4 Assumed Technology Stack</w:t>
      </w:r>
    </w:p>
    <w:p>
      <w:pPr>
        <w:spacing w:after="160" w:line="276"/>
      </w:pPr>
      <w:r>
        <w:rPr>
          <w:color w:val="222222"/>
          <w:sz w:val="21"/>
          <w:szCs w:val="21"/>
        </w:rPr>
        <w:t xml:space="preserve">Consistent with the founder's existing stack: Java 21 + Spring Boot (backend REST API), Angular (web frontend), PostgreSQL (primary datastore), Docker (containerised deployment). Flutter is available if a companion mobile app is later required, but is not in Phase 1 scope.</w:t>
      </w:r>
    </w:p>
    <w:p>
      <w:pPr>
        <w:pStyle w:val="Heading1"/>
        <w:spacing w:after="200" w:before="400"/>
      </w:pPr>
      <w:r>
        <w:rPr>
          <w:b/>
          <w:bCs/>
          <w:color w:val="1F3A5F"/>
          <w:sz w:val="30"/>
          <w:szCs w:val="30"/>
        </w:rPr>
        <w:t xml:space="preserve">3. Overall System Description</w:t>
      </w:r>
    </w:p>
    <w:p>
      <w:pPr>
        <w:pStyle w:val="Heading3"/>
        <w:spacing w:after="100" w:before="200"/>
      </w:pPr>
      <w:r>
        <w:rPr>
          <w:b/>
          <w:bCs/>
          <w:color w:val="2E7D5B"/>
          <w:sz w:val="21"/>
          <w:szCs w:val="21"/>
        </w:rPr>
        <w:t xml:space="preserve">3.1 System Context</w:t>
      </w:r>
    </w:p>
    <w:p>
      <w:pPr>
        <w:spacing w:after="160" w:line="276"/>
      </w:pPr>
      <w:r>
        <w:rPr>
          <w:color w:val="222222"/>
          <w:sz w:val="21"/>
          <w:szCs w:val="21"/>
        </w:rPr>
        <w:t xml:space="preserve">The system is accessed by SME users and (optionally, later) consultant users via a web browser. It does not integrate with Bursa Malaysia or SEDG systems directly in Phase 1 — indicator definitions are maintained as internal configurable reference data, manually updated when frameworks change.</w:t>
      </w:r>
    </w:p>
    <w:p>
      <w:pPr>
        <w:pStyle w:val="Heading3"/>
        <w:spacing w:after="100" w:before="200"/>
      </w:pPr>
      <w:r>
        <w:rPr>
          <w:b/>
          <w:bCs/>
          <w:color w:val="2E7D5B"/>
          <w:sz w:val="21"/>
          <w:szCs w:val="21"/>
        </w:rPr>
        <w:t xml:space="preserve">3.2 User Classes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User Class</w:t>
            </w:r>
          </w:p>
        </w:tc>
        <w:tc>
          <w:tcPr>
            <w:tcW w:type="dxa" w:w="0"/>
            <w:shd w:fill="1F3A5F" w:val="clear"/>
            <w:tcMar>
              <w:top w:type="dxa" w:w="80"/>
              <w:left w:type="dxa" w:w="100"/>
              <w:bottom w:type="dxa" w:w="80"/>
              <w:right w:type="dxa" w:w="100"/>
            </w:tcMar>
          </w:tcPr>
          <w:p>
            <w:r>
              <w:rPr>
                <w:b/>
                <w:bCs/>
                <w:color w:val="FFFFFF"/>
                <w:sz w:val="19"/>
                <w:szCs w:val="19"/>
              </w:rPr>
              <w:t xml:space="preserve">Description</w:t>
            </w:r>
          </w:p>
        </w:tc>
        <w:tc>
          <w:tcPr>
            <w:tcW w:type="dxa" w:w="0"/>
            <w:shd w:fill="1F3A5F" w:val="clear"/>
            <w:tcMar>
              <w:top w:type="dxa" w:w="80"/>
              <w:left w:type="dxa" w:w="100"/>
              <w:bottom w:type="dxa" w:w="80"/>
              <w:right w:type="dxa" w:w="100"/>
            </w:tcMar>
          </w:tcPr>
          <w:p>
            <w:r>
              <w:rPr>
                <w:b/>
                <w:bCs/>
                <w:color w:val="FFFFFF"/>
                <w:sz w:val="19"/>
                <w:szCs w:val="19"/>
              </w:rPr>
              <w:t xml:space="preserve">Access Level</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SME Admin</w:t>
            </w:r>
          </w:p>
        </w:tc>
        <w:tc>
          <w:tcPr>
            <w:tcW w:type="dxa" w:w="0"/>
            <w:shd w:fill="FFFFFF" w:val="clear"/>
            <w:tcMar>
              <w:top w:type="dxa" w:w="80"/>
              <w:left w:type="dxa" w:w="100"/>
              <w:bottom w:type="dxa" w:w="80"/>
              <w:right w:type="dxa" w:w="100"/>
            </w:tcMar>
          </w:tcPr>
          <w:p>
            <w:r>
              <w:rPr>
                <w:b w:val="false"/>
                <w:bCs w:val="false"/>
                <w:color w:val="222222"/>
                <w:sz w:val="19"/>
                <w:szCs w:val="19"/>
              </w:rPr>
              <w:t xml:space="preserve">Primary account owner for a Starter/Growth tenant</w:t>
            </w:r>
          </w:p>
        </w:tc>
        <w:tc>
          <w:tcPr>
            <w:tcW w:type="dxa" w:w="0"/>
            <w:shd w:fill="FFFFFF" w:val="clear"/>
            <w:tcMar>
              <w:top w:type="dxa" w:w="80"/>
              <w:left w:type="dxa" w:w="100"/>
              <w:bottom w:type="dxa" w:w="80"/>
              <w:right w:type="dxa" w:w="100"/>
            </w:tcMar>
          </w:tcPr>
          <w:p>
            <w:r>
              <w:rPr>
                <w:b w:val="false"/>
                <w:bCs w:val="false"/>
                <w:color w:val="222222"/>
                <w:sz w:val="19"/>
                <w:szCs w:val="19"/>
              </w:rPr>
              <w:t xml:space="preserve">Full read/write on own tenant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SME Contributor</w:t>
            </w:r>
          </w:p>
        </w:tc>
        <w:tc>
          <w:tcPr>
            <w:tcW w:type="dxa" w:w="0"/>
            <w:shd w:fill="FFFFFF" w:val="clear"/>
            <w:tcMar>
              <w:top w:type="dxa" w:w="80"/>
              <w:left w:type="dxa" w:w="100"/>
              <w:bottom w:type="dxa" w:w="80"/>
              <w:right w:type="dxa" w:w="100"/>
            </w:tcMar>
          </w:tcPr>
          <w:p>
            <w:r>
              <w:rPr>
                <w:b w:val="false"/>
                <w:bCs w:val="false"/>
                <w:color w:val="222222"/>
                <w:sz w:val="19"/>
                <w:szCs w:val="19"/>
              </w:rPr>
              <w:t xml:space="preserve">Additional staff entering data (optional, Phase 2)</w:t>
            </w:r>
          </w:p>
        </w:tc>
        <w:tc>
          <w:tcPr>
            <w:tcW w:type="dxa" w:w="0"/>
            <w:shd w:fill="FFFFFF" w:val="clear"/>
            <w:tcMar>
              <w:top w:type="dxa" w:w="80"/>
              <w:left w:type="dxa" w:w="100"/>
              <w:bottom w:type="dxa" w:w="80"/>
              <w:right w:type="dxa" w:w="100"/>
            </w:tcMar>
          </w:tcPr>
          <w:p>
            <w:r>
              <w:rPr>
                <w:b w:val="false"/>
                <w:bCs w:val="false"/>
                <w:color w:val="222222"/>
                <w:sz w:val="19"/>
                <w:szCs w:val="19"/>
              </w:rPr>
              <w:t xml:space="preserve">Read/write on assigned sections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Issuer Admin</w:t>
            </w:r>
          </w:p>
        </w:tc>
        <w:tc>
          <w:tcPr>
            <w:tcW w:type="dxa" w:w="0"/>
            <w:shd w:fill="FFFFFF" w:val="clear"/>
            <w:tcMar>
              <w:top w:type="dxa" w:w="80"/>
              <w:left w:type="dxa" w:w="100"/>
              <w:bottom w:type="dxa" w:w="80"/>
              <w:right w:type="dxa" w:w="100"/>
            </w:tcMar>
          </w:tcPr>
          <w:p>
            <w:r>
              <w:rPr>
                <w:b w:val="false"/>
                <w:bCs w:val="false"/>
                <w:color w:val="222222"/>
                <w:sz w:val="19"/>
                <w:szCs w:val="19"/>
              </w:rPr>
              <w:t xml:space="preserve">Primary sustainability lead for an Issuer-Ready tenant</w:t>
            </w:r>
          </w:p>
        </w:tc>
        <w:tc>
          <w:tcPr>
            <w:tcW w:type="dxa" w:w="0"/>
            <w:shd w:fill="FFFFFF" w:val="clear"/>
            <w:tcMar>
              <w:top w:type="dxa" w:w="80"/>
              <w:left w:type="dxa" w:w="100"/>
              <w:bottom w:type="dxa" w:w="80"/>
              <w:right w:type="dxa" w:w="100"/>
            </w:tcMar>
          </w:tcPr>
          <w:p>
            <w:r>
              <w:rPr>
                <w:b w:val="false"/>
                <w:bCs w:val="false"/>
                <w:color w:val="222222"/>
                <w:sz w:val="19"/>
                <w:szCs w:val="19"/>
              </w:rPr>
              <w:t xml:space="preserve">Full read/write on own tenant, incl. assurance sign-off</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Issuer Contributor</w:t>
            </w:r>
          </w:p>
        </w:tc>
        <w:tc>
          <w:tcPr>
            <w:tcW w:type="dxa" w:w="0"/>
            <w:shd w:fill="FFFFFF" w:val="clear"/>
            <w:tcMar>
              <w:top w:type="dxa" w:w="80"/>
              <w:left w:type="dxa" w:w="100"/>
              <w:bottom w:type="dxa" w:w="80"/>
              <w:right w:type="dxa" w:w="100"/>
            </w:tcMar>
          </w:tcPr>
          <w:p>
            <w:r>
              <w:rPr>
                <w:b w:val="false"/>
                <w:bCs w:val="false"/>
                <w:color w:val="222222"/>
                <w:sz w:val="19"/>
                <w:szCs w:val="19"/>
              </w:rPr>
              <w:t xml:space="preserve">Departmental contributor (HR, EHS, finance) on an Issuer-Ready tenant</w:t>
            </w:r>
          </w:p>
        </w:tc>
        <w:tc>
          <w:tcPr>
            <w:tcW w:type="dxa" w:w="0"/>
            <w:shd w:fill="FFFFFF" w:val="clear"/>
            <w:tcMar>
              <w:top w:type="dxa" w:w="80"/>
              <w:left w:type="dxa" w:w="100"/>
              <w:bottom w:type="dxa" w:w="80"/>
              <w:right w:type="dxa" w:w="100"/>
            </w:tcMar>
          </w:tcPr>
          <w:p>
            <w:r>
              <w:rPr>
                <w:b w:val="false"/>
                <w:bCs w:val="false"/>
                <w:color w:val="222222"/>
                <w:sz w:val="19"/>
                <w:szCs w:val="19"/>
              </w:rPr>
              <w:t xml:space="preserve">Read/write on assigned matters only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Consultant</w:t>
            </w:r>
          </w:p>
        </w:tc>
        <w:tc>
          <w:tcPr>
            <w:tcW w:type="dxa" w:w="0"/>
            <w:shd w:fill="FFFFFF" w:val="clear"/>
            <w:tcMar>
              <w:top w:type="dxa" w:w="80"/>
              <w:left w:type="dxa" w:w="100"/>
              <w:bottom w:type="dxa" w:w="80"/>
              <w:right w:type="dxa" w:w="100"/>
            </w:tcMar>
          </w:tcPr>
          <w:p>
            <w:r>
              <w:rPr>
                <w:b w:val="false"/>
                <w:bCs w:val="false"/>
                <w:color w:val="222222"/>
                <w:sz w:val="19"/>
                <w:szCs w:val="19"/>
              </w:rPr>
              <w:t xml:space="preserve">Manages multiple SME and/or issuer tenants (Phase 3+)</w:t>
            </w:r>
          </w:p>
        </w:tc>
        <w:tc>
          <w:tcPr>
            <w:tcW w:type="dxa" w:w="0"/>
            <w:shd w:fill="FFFFFF" w:val="clear"/>
            <w:tcMar>
              <w:top w:type="dxa" w:w="80"/>
              <w:left w:type="dxa" w:w="100"/>
              <w:bottom w:type="dxa" w:w="80"/>
              <w:right w:type="dxa" w:w="100"/>
            </w:tcMar>
          </w:tcPr>
          <w:p>
            <w:r>
              <w:rPr>
                <w:b w:val="false"/>
                <w:bCs w:val="false"/>
                <w:color w:val="222222"/>
                <w:sz w:val="19"/>
                <w:szCs w:val="19"/>
              </w:rPr>
              <w:t xml:space="preserve">Read/write across assigned client tenants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Platform Admin</w:t>
            </w:r>
          </w:p>
        </w:tc>
        <w:tc>
          <w:tcPr>
            <w:tcW w:type="dxa" w:w="0"/>
            <w:shd w:fill="FFFFFF" w:val="clear"/>
            <w:tcMar>
              <w:top w:type="dxa" w:w="80"/>
              <w:left w:type="dxa" w:w="100"/>
              <w:bottom w:type="dxa" w:w="80"/>
              <w:right w:type="dxa" w:w="100"/>
            </w:tcMar>
          </w:tcPr>
          <w:p>
            <w:r>
              <w:rPr>
                <w:b w:val="false"/>
                <w:bCs w:val="false"/>
                <w:color w:val="222222"/>
                <w:sz w:val="19"/>
                <w:szCs w:val="19"/>
              </w:rPr>
              <w:t xml:space="preserve">Internal operator</w:t>
            </w:r>
          </w:p>
        </w:tc>
        <w:tc>
          <w:tcPr>
            <w:tcW w:type="dxa" w:w="0"/>
            <w:shd w:fill="FFFFFF" w:val="clear"/>
            <w:tcMar>
              <w:top w:type="dxa" w:w="80"/>
              <w:left w:type="dxa" w:w="100"/>
              <w:bottom w:type="dxa" w:w="80"/>
              <w:right w:type="dxa" w:w="100"/>
            </w:tcMar>
          </w:tcPr>
          <w:p>
            <w:r>
              <w:rPr>
                <w:b w:val="false"/>
                <w:bCs w:val="false"/>
                <w:color w:val="222222"/>
                <w:sz w:val="19"/>
                <w:szCs w:val="19"/>
              </w:rPr>
              <w:t xml:space="preserve">Full system access, reference data management</w:t>
            </w:r>
          </w:p>
        </w:tc>
      </w:tr>
    </w:tbl>
    <w:p>
      <w:pPr>
        <w:pStyle w:val="Heading3"/>
        <w:spacing w:after="100" w:before="200"/>
      </w:pPr>
      <w:r>
        <w:rPr>
          <w:b/>
          <w:bCs/>
          <w:color w:val="2E7D5B"/>
          <w:sz w:val="21"/>
          <w:szCs w:val="21"/>
        </w:rPr>
        <w:t xml:space="preserve">3.3 Design and Implementation Constraints</w:t>
      </w:r>
    </w:p>
    <w:p>
      <w:pPr>
        <w:pStyle w:val="ListParagraph"/>
        <w:numPr>
          <w:ilvl w:val="0"/>
          <w:numId w:val="2"/>
        </w:numPr>
        <w:spacing w:after="80" w:line="270"/>
      </w:pPr>
      <w:r>
        <w:rPr>
          <w:color w:val="222222"/>
          <w:sz w:val="21"/>
          <w:szCs w:val="21"/>
        </w:rPr>
        <w:t xml:space="preserve">Must run cost-effectively on modest infrastructure given solo/bootstrapped operation — target low-cost cloud hosting (e.g. single-region deployment, managed PostgreSQL).</w:t>
      </w:r>
    </w:p>
    <w:p>
      <w:pPr>
        <w:pStyle w:val="ListParagraph"/>
        <w:numPr>
          <w:ilvl w:val="0"/>
          <w:numId w:val="2"/>
        </w:numPr>
        <w:spacing w:after="80" w:line="270"/>
      </w:pPr>
      <w:r>
        <w:rPr>
          <w:color w:val="222222"/>
          <w:sz w:val="21"/>
          <w:szCs w:val="21"/>
        </w:rPr>
        <w:t xml:space="preserve">Indicator definitions, materiality matter list, and tier structure must be stored as configurable data, not hard-coded, to accommodate SEDG/Bursa framework revisions without a code deployment.</w:t>
      </w:r>
    </w:p>
    <w:p>
      <w:pPr>
        <w:pStyle w:val="ListParagraph"/>
        <w:numPr>
          <w:ilvl w:val="0"/>
          <w:numId w:val="2"/>
        </w:numPr>
        <w:spacing w:after="80" w:line="270"/>
      </w:pPr>
      <w:r>
        <w:rPr>
          <w:color w:val="222222"/>
          <w:sz w:val="21"/>
          <w:szCs w:val="21"/>
        </w:rPr>
        <w:t xml:space="preserve">Data residency: company ESG data should be stored within a jurisdiction acceptable for Malaysian business data (no hard legal requirement identified in Phase 1, but design should not preclude future data residency requirements).</w:t>
      </w:r>
    </w:p>
    <w:p>
      <w:pPr>
        <w:pStyle w:val="Heading1"/>
        <w:spacing w:after="200" w:before="400"/>
      </w:pPr>
      <w:r>
        <w:rPr>
          <w:b/>
          <w:bCs/>
          <w:color w:val="1F3A5F"/>
          <w:sz w:val="30"/>
          <w:szCs w:val="30"/>
        </w:rPr>
        <w:t xml:space="preserve">4. Functional Requirements</w:t>
      </w:r>
    </w:p>
    <w:p>
      <w:pPr>
        <w:pStyle w:val="Heading2"/>
        <w:spacing w:after="150" w:before="300"/>
      </w:pPr>
      <w:r>
        <w:rPr>
          <w:b/>
          <w:bCs/>
          <w:color w:val="1F3A5F"/>
          <w:sz w:val="24"/>
          <w:szCs w:val="24"/>
        </w:rPr>
        <w:t xml:space="preserve">4.1 Authentication &amp; Tenant Management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FR-1.1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a user to register a new company tenant with email/password authentication.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FR-1.2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isolate all company data by tenant; no tenant shall be able to view another tenant's data.</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FR-1.3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an SME Admin to invite additional Contributor users to their tenant (Phase 2).</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FR-1.4</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support role-based access control distinguishing SME Admin, Contributor, Consultant, and Platform Admin roles.</w:t>
            </w:r>
          </w:p>
        </w:tc>
      </w:tr>
    </w:tbl>
    <w:p>
      <w:pPr>
        <w:pStyle w:val="Heading2"/>
        <w:spacing w:after="150" w:before="300"/>
      </w:pPr>
      <w:r>
        <w:rPr>
          <w:b/>
          <w:bCs/>
          <w:color w:val="1F3A5F"/>
          <w:sz w:val="24"/>
          <w:szCs w:val="24"/>
        </w:rPr>
        <w:t xml:space="preserve">4.2 Company Profile &amp; Onboarding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FR-2.1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capture company profile data: name, size (employee count band), sector, and primary reason for adoption.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FR-2.2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selection of a subscription tier (Basic / Intermediate / Advanced) during onboarding.</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FR-2.3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tag the company to a sector from a configurable sector reference list.</w:t>
            </w:r>
          </w:p>
        </w:tc>
      </w:tr>
    </w:tbl>
    <w:p>
      <w:pPr>
        <w:pStyle w:val="Heading2"/>
        <w:spacing w:after="150" w:before="300"/>
      </w:pPr>
      <w:r>
        <w:rPr>
          <w:b/>
          <w:bCs/>
          <w:color w:val="1F3A5F"/>
          <w:sz w:val="24"/>
          <w:szCs w:val="24"/>
        </w:rPr>
        <w:t xml:space="preserve">4.3 Materiality Assessment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FR-3.1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present the 11 common sustainability matters for stakeholder-impact and business-influence scoring.</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FR-3.2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the user to define relevant stakeholder groups for their company.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FR-3.3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calculate and display a materiality matrix (impact vs. influence) based on submitted scores.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FR-3.4</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re-running the materiality assessment in a subsequent reporting period and shall retain prior versions.</w:t>
            </w:r>
          </w:p>
        </w:tc>
      </w:tr>
    </w:tbl>
    <w:p>
      <w:pPr>
        <w:pStyle w:val="Heading2"/>
        <w:spacing w:after="150" w:before="300"/>
      </w:pPr>
      <w:r>
        <w:rPr>
          <w:b/>
          <w:bCs/>
          <w:color w:val="1F3A5F"/>
          <w:sz w:val="24"/>
          <w:szCs w:val="24"/>
        </w:rPr>
        <w:t xml:space="preserve">4.4 Governance Documentation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FR-4.1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the user to document oversight, strategic management, and day-to-day implementation roles for sustainability accountability.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FR-4.2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assignment of a responsible owner (named or role-based) to each of the 11 sustainability matters.</w:t>
            </w:r>
          </w:p>
        </w:tc>
      </w:tr>
    </w:tbl>
    <w:p>
      <w:pPr>
        <w:pStyle w:val="Heading2"/>
        <w:spacing w:after="150" w:before="300"/>
      </w:pPr>
      <w:r>
        <w:rPr>
          <w:b/>
          <w:bCs/>
          <w:color w:val="1F3A5F"/>
          <w:sz w:val="24"/>
          <w:szCs w:val="24"/>
        </w:rPr>
        <w:t xml:space="preserve">4.5 Indicator Data Management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FR-5.1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provide structured data entry forms for the correct Common Sustainability Matter set per tenant profile: SEDG's 35 disclosures (Starter/Growth), 9 matters (Issuer-Ready, Main Market), or 11 matters (Issuer-Ready, ACE Market).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FR-5.2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store indicator values per financial year and shall retain a minimum of 3 years of historical data per indicator.</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FR-5.3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the user to set a performance target for any indicator and compare actual vs. target over time.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FR-5.4</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support sector-specific indicator sets: one pilot SEDG sector on Growth, full Bursa sector classification coverage on Issuer-Ready, shown only to tenants tagged to the relevant sector.</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FR-5.5</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log the user, timestamp, and optional source-document reference for each indicator data entry (audit trail).</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FR-5.6</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validate numeric indicator inputs (non-negative values, appropriate units) at entry time.</w:t>
            </w:r>
          </w:p>
        </w:tc>
      </w:tr>
    </w:tbl>
    <w:p>
      <w:pPr>
        <w:pStyle w:val="Heading2"/>
        <w:spacing w:after="150" w:before="300"/>
      </w:pPr>
      <w:r>
        <w:rPr>
          <w:b/>
          <w:bCs/>
          <w:color w:val="1F3A5F"/>
          <w:sz w:val="24"/>
          <w:szCs w:val="24"/>
        </w:rPr>
        <w:t xml:space="preserve">4.6 IFRS S1/S2 and Climate Module (Issuer-Ready plan only)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FR-6.1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provide a structured IFRS S1 module capturing material sustainability-related risks and opportunities relevant to the tenant's principal business segments.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FR-6.2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provide a structured IFRS S2 climate module covering governance, strategy (including physical and transition risk), risk management, and metrics/targets, absorbing what was formerly a standalone TCFD-aligned disclosure chapter.</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FR-6.3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track Scope 1, Scope 2, and Scope 3 GHG emissions, with the ability to flag Scope 3 categories as deferred where the tenant is within its permitted transition relief period.</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FR-6.4</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apply climate-first transition relief logic based on tenant classification: 2 financial years for Main Market issuers, 3 financial years for ACE Market issuers, from each tenant's applicable start date.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FR-6.5</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scoping of climate disclosures to principal business segments where the tenant has elected to use available transition relief.</w:t>
            </w:r>
          </w:p>
        </w:tc>
      </w:tr>
    </w:tbl>
    <w:p>
      <w:pPr>
        <w:pStyle w:val="Heading2"/>
        <w:spacing w:after="150" w:before="300"/>
      </w:pPr>
      <w:r>
        <w:rPr>
          <w:b/>
          <w:bCs/>
          <w:color w:val="1F3A5F"/>
          <w:sz w:val="24"/>
          <w:szCs w:val="24"/>
        </w:rPr>
        <w:t xml:space="preserve">4.7 Assurance-Readiness Workspace (Issuer-Ready plan only)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FR-7.1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provide an internal review sign-off workflow, allowing a designated Issuer Admin to mark a reporting period's data as internally reviewed prior to export.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FR-7.2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maintain a complete, exportable audit trail per indicator (entries, edits, approvals) suitable for presentation to an external assurance provider.</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FR-7.3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attachment of supporting source documents to individual indicator values.</w:t>
            </w:r>
          </w:p>
        </w:tc>
      </w:tr>
    </w:tbl>
    <w:p>
      <w:pPr>
        <w:pStyle w:val="Heading2"/>
        <w:spacing w:after="150" w:before="300"/>
      </w:pPr>
      <w:r>
        <w:rPr>
          <w:b/>
          <w:bCs/>
          <w:color w:val="1F3A5F"/>
          <w:sz w:val="24"/>
          <w:szCs w:val="24"/>
        </w:rPr>
        <w:t xml:space="preserve">4.8 Reporting &amp; Export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FR-8.1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generate an exportable disclosure summary document (PDF and/or Word) covering materiality results, governance structure, and indicator data, appropriate to the tenant's plan.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FR-8.2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display a progress dashboard showing completion status across the applicable sustainability matters for the tenant's plan and market classification.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FR-8.3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allow export of raw indicator data in a structured format (e.g. CSV) for external use.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FR-8.4</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Issuer-Ready plan shall generate a CSI-compatible export: data structured and labelled to match Bursa's CSI input requirements, for manual transfer into CSI by the issuer's team. This export is explicitly a readiness aid, not a submission to CSI itself.</w:t>
            </w:r>
          </w:p>
        </w:tc>
      </w:tr>
    </w:tbl>
    <w:p>
      <w:pPr>
        <w:pStyle w:val="Heading2"/>
        <w:spacing w:after="150" w:before="300"/>
      </w:pPr>
      <w:r>
        <w:rPr>
          <w:b/>
          <w:bCs/>
          <w:color w:val="1F3A5F"/>
          <w:sz w:val="24"/>
          <w:szCs w:val="24"/>
        </w:rPr>
        <w:t xml:space="preserve">4.9 Billing &amp; Subscription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ID</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FR-9.1</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support tiered subscription billing (Starter / Growth / Issuer-Ready) via a third-party payment gateway.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FR-9.2</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restrict feature access according to the tenant's active subscription plan.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FR-9.3</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shall support monthly and annual billing cycles; Issuer-Ready may additionally support custom/negotiated annual contracts.</w:t>
            </w:r>
          </w:p>
        </w:tc>
      </w:tr>
    </w:tbl>
    <w:p>
      <w:pPr>
        <w:pStyle w:val="Heading1"/>
        <w:spacing w:after="200" w:before="400"/>
      </w:pPr>
      <w:r>
        <w:rPr>
          <w:b/>
          <w:bCs/>
          <w:color w:val="1F3A5F"/>
          <w:sz w:val="30"/>
          <w:szCs w:val="30"/>
        </w:rPr>
        <w:t xml:space="preserve">5.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Category</w:t>
            </w:r>
          </w:p>
        </w:tc>
        <w:tc>
          <w:tcPr>
            <w:tcW w:type="dxa" w:w="0"/>
            <w:shd w:fill="1F3A5F" w:val="clear"/>
            <w:tcMar>
              <w:top w:type="dxa" w:w="80"/>
              <w:left w:type="dxa" w:w="100"/>
              <w:bottom w:type="dxa" w:w="80"/>
              <w:right w:type="dxa" w:w="100"/>
            </w:tcMar>
          </w:tcPr>
          <w:p>
            <w:r>
              <w:rPr>
                <w:b/>
                <w:bCs/>
                <w:color w:val="FFFFFF"/>
                <w:sz w:val="19"/>
                <w:szCs w:val="19"/>
              </w:rPr>
              <w:t xml:space="preserve">Requirement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Performance</w:t>
            </w:r>
          </w:p>
        </w:tc>
        <w:tc>
          <w:tcPr>
            <w:tcW w:type="dxa" w:w="0"/>
            <w:shd w:fill="FFFFFF" w:val="clear"/>
            <w:tcMar>
              <w:top w:type="dxa" w:w="80"/>
              <w:left w:type="dxa" w:w="100"/>
              <w:bottom w:type="dxa" w:w="80"/>
              <w:right w:type="dxa" w:w="100"/>
            </w:tcMar>
          </w:tcPr>
          <w:p>
            <w:r>
              <w:rPr>
                <w:b w:val="false"/>
                <w:bCs w:val="false"/>
                <w:color w:val="222222"/>
                <w:sz w:val="19"/>
                <w:szCs w:val="19"/>
              </w:rPr>
              <w:t xml:space="preserve">Page loads and form submissions should complete within 2 seconds under normal load for a single-tenant, low-concurrency deployment.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Scalability</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should support horizontal scaling of the API tier if tenant count grows beyond initial single-instance capacity, without requiring a data model redesign.</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Security</w:t>
            </w:r>
          </w:p>
        </w:tc>
        <w:tc>
          <w:tcPr>
            <w:tcW w:type="dxa" w:w="0"/>
            <w:shd w:fill="FFFFFF" w:val="clear"/>
            <w:tcMar>
              <w:top w:type="dxa" w:w="80"/>
              <w:left w:type="dxa" w:w="100"/>
              <w:bottom w:type="dxa" w:w="80"/>
              <w:right w:type="dxa" w:w="100"/>
            </w:tcMar>
          </w:tcPr>
          <w:p>
            <w:r>
              <w:rPr>
                <w:b w:val="false"/>
                <w:bCs w:val="false"/>
                <w:color w:val="222222"/>
                <w:sz w:val="19"/>
                <w:szCs w:val="19"/>
              </w:rPr>
              <w:t xml:space="preserve">All data in transit shall use TLS. Passwords shall be hashed (e.g. bcrypt/argon2). Tenant data isolation shall be enforced at the data-access layer, not only the UI layer.</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Availability</w:t>
            </w:r>
          </w:p>
        </w:tc>
        <w:tc>
          <w:tcPr>
            <w:tcW w:type="dxa" w:w="0"/>
            <w:shd w:fill="FFFFFF" w:val="clear"/>
            <w:tcMar>
              <w:top w:type="dxa" w:w="80"/>
              <w:left w:type="dxa" w:w="100"/>
              <w:bottom w:type="dxa" w:w="80"/>
              <w:right w:type="dxa" w:w="100"/>
            </w:tcMar>
          </w:tcPr>
          <w:p>
            <w:r>
              <w:rPr>
                <w:b w:val="false"/>
                <w:bCs w:val="false"/>
                <w:color w:val="222222"/>
                <w:sz w:val="19"/>
                <w:szCs w:val="19"/>
              </w:rPr>
              <w:t xml:space="preserve">Target 99% uptime for Phase 1; formal SLA not required until enterprise customers are onboarded.</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Auditability</w:t>
            </w:r>
          </w:p>
        </w:tc>
        <w:tc>
          <w:tcPr>
            <w:tcW w:type="dxa" w:w="0"/>
            <w:shd w:fill="FFFFFF" w:val="clear"/>
            <w:tcMar>
              <w:top w:type="dxa" w:w="80"/>
              <w:left w:type="dxa" w:w="100"/>
              <w:bottom w:type="dxa" w:w="80"/>
              <w:right w:type="dxa" w:w="100"/>
            </w:tcMar>
          </w:tcPr>
          <w:p>
            <w:r>
              <w:rPr>
                <w:b w:val="false"/>
                <w:bCs w:val="false"/>
                <w:color w:val="222222"/>
                <w:sz w:val="19"/>
                <w:szCs w:val="19"/>
              </w:rPr>
              <w:t xml:space="preserve">All indicator data changes shall be traceable to a user and timestamp, supporting future assurance requirements.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Usability</w:t>
            </w:r>
          </w:p>
        </w:tc>
        <w:tc>
          <w:tcPr>
            <w:tcW w:type="dxa" w:w="0"/>
            <w:shd w:fill="FFFFFF" w:val="clear"/>
            <w:tcMar>
              <w:top w:type="dxa" w:w="80"/>
              <w:left w:type="dxa" w:w="100"/>
              <w:bottom w:type="dxa" w:w="80"/>
              <w:right w:type="dxa" w:w="100"/>
            </w:tcMar>
          </w:tcPr>
          <w:p>
            <w:r>
              <w:rPr>
                <w:b w:val="false"/>
                <w:bCs w:val="false"/>
                <w:color w:val="222222"/>
                <w:sz w:val="19"/>
                <w:szCs w:val="19"/>
              </w:rPr>
              <w:t xml:space="preserve">A non-technical SME user should be able to complete onboarding and a first materiality assessment without external training, consistent with the PRD's activation goal.</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Maintainability</w:t>
            </w:r>
          </w:p>
        </w:tc>
        <w:tc>
          <w:tcPr>
            <w:tcW w:type="dxa" w:w="0"/>
            <w:shd w:fill="FFFFFF" w:val="clear"/>
            <w:tcMar>
              <w:top w:type="dxa" w:w="80"/>
              <w:left w:type="dxa" w:w="100"/>
              <w:bottom w:type="dxa" w:w="80"/>
              <w:right w:type="dxa" w:w="100"/>
            </w:tcMar>
          </w:tcPr>
          <w:p>
            <w:r>
              <w:rPr>
                <w:b w:val="false"/>
                <w:bCs w:val="false"/>
                <w:color w:val="222222"/>
                <w:sz w:val="19"/>
                <w:szCs w:val="19"/>
              </w:rPr>
              <w:t xml:space="preserve">Indicator definitions, sustainability matter list, and tier/feature mapping shall be stored as configurable reference data to accommodate SEDG/Bursa framework changes without code redeployment.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Localisation</w:t>
            </w:r>
          </w:p>
        </w:tc>
        <w:tc>
          <w:tcPr>
            <w:tcW w:type="dxa" w:w="0"/>
            <w:shd w:fill="FFFFFF" w:val="clear"/>
            <w:tcMar>
              <w:top w:type="dxa" w:w="80"/>
              <w:left w:type="dxa" w:w="100"/>
              <w:bottom w:type="dxa" w:w="80"/>
              <w:right w:type="dxa" w:w="100"/>
            </w:tcMar>
          </w:tcPr>
          <w:p>
            <w:r>
              <w:rPr>
                <w:b w:val="false"/>
                <w:bCs w:val="false"/>
                <w:color w:val="222222"/>
                <w:sz w:val="19"/>
                <w:szCs w:val="19"/>
              </w:rPr>
              <w:t xml:space="preserve">The system architecture should not preclude future Bahasa Malaysia localisation, though English-only is acceptable for Phase 1.</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Data backup</w:t>
            </w:r>
          </w:p>
        </w:tc>
        <w:tc>
          <w:tcPr>
            <w:tcW w:type="dxa" w:w="0"/>
            <w:shd w:fill="FFFFFF" w:val="clear"/>
            <w:tcMar>
              <w:top w:type="dxa" w:w="80"/>
              <w:left w:type="dxa" w:w="100"/>
              <w:bottom w:type="dxa" w:w="80"/>
              <w:right w:type="dxa" w:w="100"/>
            </w:tcMar>
          </w:tcPr>
          <w:p>
            <w:r>
              <w:rPr>
                <w:b w:val="false"/>
                <w:bCs w:val="false"/>
                <w:color w:val="222222"/>
                <w:sz w:val="19"/>
                <w:szCs w:val="19"/>
              </w:rPr>
              <w:t xml:space="preserve">Automated daily backups of the primary datastore with a defined retention period (e.g. 30 days).</w:t>
            </w:r>
          </w:p>
        </w:tc>
      </w:tr>
    </w:tbl>
    <w:p>
      <w:pPr>
        <w:pStyle w:val="Heading1"/>
        <w:spacing w:after="200" w:before="400"/>
      </w:pPr>
      <w:r>
        <w:rPr>
          <w:b/>
          <w:bCs/>
          <w:color w:val="1F3A5F"/>
          <w:sz w:val="30"/>
          <w:szCs w:val="30"/>
        </w:rPr>
        <w:t xml:space="preserve">6. Data Model (Key Entities)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0"/>
            <w:shd w:fill="1F3A5F" w:val="clear"/>
            <w:tcMar>
              <w:top w:type="dxa" w:w="80"/>
              <w:left w:type="dxa" w:w="100"/>
              <w:bottom w:type="dxa" w:w="80"/>
              <w:right w:type="dxa" w:w="100"/>
            </w:tcMar>
          </w:tcPr>
          <w:p>
            <w:r>
              <w:rPr>
                <w:b/>
                <w:bCs/>
                <w:color w:val="FFFFFF"/>
                <w:sz w:val="19"/>
                <w:szCs w:val="19"/>
              </w:rPr>
              <w:t xml:space="preserve">Entity</w:t>
            </w:r>
          </w:p>
        </w:tc>
        <w:tc>
          <w:tcPr>
            <w:tcW w:type="dxa" w:w="0"/>
            <w:shd w:fill="1F3A5F" w:val="clear"/>
            <w:tcMar>
              <w:top w:type="dxa" w:w="80"/>
              <w:left w:type="dxa" w:w="100"/>
              <w:bottom w:type="dxa" w:w="80"/>
              <w:right w:type="dxa" w:w="100"/>
            </w:tcMar>
          </w:tcPr>
          <w:p>
            <w:r>
              <w:rPr>
                <w:b/>
                <w:bCs/>
                <w:color w:val="FFFFFF"/>
                <w:sz w:val="19"/>
                <w:szCs w:val="19"/>
              </w:rPr>
              <w:t xml:space="preserve">Key Attributes</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Company (Tenant)</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name, sector, size_band, market_classification (SME/Main Market/ACE Market), subscription_plan, created_at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User</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company_id, email, role, password_hash</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SustainabilityMatter</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code, name, description, applicable_market (SEDG/Main/ACE), reference data</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Indicator</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matter_id, code, name, unit, sector_scope (common/sector-specific), framework (SEDG/Bursa/IFRS S1/IFRS S2)</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IndicatorValue</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indicator_id, company_id, financial_year, value, source_reference, entered_by, entered_at, reviewed_by, reviewed_at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PerformanceTarget</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indicator_id, company_id, financial_year, target_value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MaterialityAssessment</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company_id, period, stakeholder_list, scores_json, matrix_output</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GovernanceRecord</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company_id, matter_id, oversight_role, strategic_role, implementation_role</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ClimateDisclosure</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company_id, period, scope1_value, scope2_value, scope3_json, transition_relief_flag, principal_segments_json (Issuer-Ready)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AssuranceRecord</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company_id, period, reviewed_by, review_status, supporting_documents_json (Issuer-Ready)</w:t>
            </w:r>
          </w:p>
        </w:tc>
      </w:tr>
      <w:tr>
        <w:tc>
          <w:tcPr>
            <w:tcW w:type="dxa" w:w="0"/>
            <w:shd w:fill="FFFFFF" w:val="clear"/>
            <w:tcMar>
              <w:top w:type="dxa" w:w="80"/>
              <w:left w:type="dxa" w:w="100"/>
              <w:bottom w:type="dxa" w:w="80"/>
              <w:right w:type="dxa" w:w="100"/>
            </w:tcMar>
          </w:tcPr>
          <w:p>
            <w:r>
              <w:rPr>
                <w:b w:val="false"/>
                <w:bCs w:val="false"/>
                <w:color w:val="222222"/>
                <w:sz w:val="19"/>
                <w:szCs w:val="19"/>
              </w:rPr>
              <w:t xml:space="preserve">DisclosureExport</w:t>
            </w:r>
          </w:p>
        </w:tc>
        <w:tc>
          <w:tcPr>
            <w:tcW w:type="dxa" w:w="0"/>
            <w:shd w:fill="FFFFFF" w:val="clear"/>
            <w:tcMar>
              <w:top w:type="dxa" w:w="80"/>
              <w:left w:type="dxa" w:w="100"/>
              <w:bottom w:type="dxa" w:w="80"/>
              <w:right w:type="dxa" w:w="100"/>
            </w:tcMar>
          </w:tcPr>
          <w:p>
            <w:r>
              <w:rPr>
                <w:b w:val="false"/>
                <w:bCs w:val="false"/>
                <w:color w:val="222222"/>
                <w:sz w:val="19"/>
                <w:szCs w:val="19"/>
              </w:rPr>
              <w:t xml:space="preserve">id, company_id, generated_at, format (standard/CSI-compatible), file_reference</w:t>
            </w:r>
          </w:p>
        </w:tc>
      </w:tr>
    </w:tbl>
    <w:p>
      <w:pPr>
        <w:pStyle w:val="Heading1"/>
        <w:spacing w:after="200" w:before="400"/>
      </w:pPr>
      <w:r>
        <w:rPr>
          <w:b/>
          <w:bCs/>
          <w:color w:val="1F3A5F"/>
          <w:sz w:val="30"/>
          <w:szCs w:val="30"/>
        </w:rPr>
        <w:t xml:space="preserve">7. External Interface Requirements</w:t>
      </w:r>
    </w:p>
    <w:p>
      <w:pPr>
        <w:pStyle w:val="ListParagraph"/>
        <w:numPr>
          <w:ilvl w:val="0"/>
          <w:numId w:val="2"/>
        </w:numPr>
        <w:spacing w:after="80" w:line="270"/>
      </w:pPr>
      <w:r>
        <w:rPr>
          <w:color w:val="222222"/>
          <w:sz w:val="21"/>
          <w:szCs w:val="21"/>
        </w:rPr>
        <w:t xml:space="preserve">Web UI: Angular single-page application, responsive for desktop and tablet use (SME users are expected to primarily use desktop for data entry).</w:t>
      </w:r>
    </w:p>
    <w:p>
      <w:pPr>
        <w:pStyle w:val="ListParagraph"/>
        <w:numPr>
          <w:ilvl w:val="0"/>
          <w:numId w:val="2"/>
        </w:numPr>
        <w:spacing w:after="80" w:line="270"/>
      </w:pPr>
      <w:r>
        <w:rPr>
          <w:color w:val="222222"/>
          <w:sz w:val="21"/>
          <w:szCs w:val="21"/>
        </w:rPr>
        <w:t xml:space="preserve">REST API: Spring Boot backend exposing versioned REST endpoints consumed by the Angular frontend; documented via OpenAPI for future integrations.</w:t>
      </w:r>
    </w:p>
    <w:p>
      <w:pPr>
        <w:pStyle w:val="ListParagraph"/>
        <w:numPr>
          <w:ilvl w:val="0"/>
          <w:numId w:val="2"/>
        </w:numPr>
        <w:spacing w:after="80" w:line="270"/>
      </w:pPr>
      <w:r>
        <w:rPr>
          <w:color w:val="222222"/>
          <w:sz w:val="21"/>
          <w:szCs w:val="21"/>
        </w:rPr>
        <w:t xml:space="preserve">Payment gateway integration: third-party provider supporting Malaysian payment methods (e.g. FPX) for local SME billing.</w:t>
      </w:r>
    </w:p>
    <w:p>
      <w:pPr>
        <w:pStyle w:val="ListParagraph"/>
        <w:numPr>
          <w:ilvl w:val="0"/>
          <w:numId w:val="2"/>
        </w:numPr>
        <w:spacing w:after="80" w:line="270"/>
      </w:pPr>
      <w:r>
        <w:rPr>
          <w:color w:val="222222"/>
          <w:sz w:val="21"/>
          <w:szCs w:val="21"/>
        </w:rPr>
        <w:t xml:space="preserve">Document export: server-side generation of PDF/Word disclosure summaries.</w:t>
      </w:r>
    </w:p>
    <w:p>
      <w:pPr>
        <w:pStyle w:val="Heading1"/>
        <w:spacing w:after="200" w:before="400"/>
      </w:pPr>
      <w:r>
        <w:rPr>
          <w:b/>
          <w:bCs/>
          <w:color w:val="1F3A5F"/>
          <w:sz w:val="30"/>
          <w:szCs w:val="30"/>
        </w:rPr>
        <w:t xml:space="preserve">8. Constraints and Dependencies</w:t>
      </w:r>
    </w:p>
    <w:p>
      <w:pPr>
        <w:pStyle w:val="ListParagraph"/>
        <w:numPr>
          <w:ilvl w:val="0"/>
          <w:numId w:val="2"/>
        </w:numPr>
        <w:spacing w:after="80" w:line="270"/>
      </w:pPr>
      <w:r>
        <w:rPr>
          <w:color w:val="222222"/>
          <w:sz w:val="21"/>
          <w:szCs w:val="21"/>
        </w:rPr>
        <w:t xml:space="preserve">Dependent on continued availability and stability of the SEDG framework and Bursa Malaysia's published indicator set as the reference data source.</w:t>
      </w:r>
    </w:p>
    <w:p>
      <w:pPr>
        <w:pStyle w:val="ListParagraph"/>
        <w:numPr>
          <w:ilvl w:val="0"/>
          <w:numId w:val="2"/>
        </w:numPr>
        <w:spacing w:after="80" w:line="270"/>
      </w:pPr>
      <w:r>
        <w:rPr>
          <w:color w:val="222222"/>
          <w:sz w:val="21"/>
          <w:szCs w:val="21"/>
        </w:rPr>
        <w:t xml:space="preserve">Solo development capacity constrains initial release scope; Phase 1 requirements above should be treated as the ceiling, not the floor, for MVP.</w:t>
      </w:r>
    </w:p>
    <w:p>
      <w:pPr>
        <w:pStyle w:val="ListParagraph"/>
        <w:numPr>
          <w:ilvl w:val="0"/>
          <w:numId w:val="2"/>
        </w:numPr>
        <w:spacing w:after="80" w:line="270"/>
      </w:pPr>
      <w:r>
        <w:rPr>
          <w:color w:val="222222"/>
          <w:sz w:val="21"/>
          <w:szCs w:val="21"/>
        </w:rPr>
        <w:t xml:space="preserve">No integration with Bursa Malaysia or SEDG systems is assumed; all reference data is manually maintained by the Platform Admin.</w:t>
      </w:r>
    </w:p>
    <w:p>
      <w:pPr>
        <w:pStyle w:val="Heading1"/>
        <w:spacing w:after="200" w:before="400"/>
      </w:pPr>
      <w:r>
        <w:rPr>
          <w:b/>
          <w:bCs/>
          <w:color w:val="1F3A5F"/>
          <w:sz w:val="30"/>
          <w:szCs w:val="30"/>
        </w:rPr>
        <w:t xml:space="preserve">9. Traceability Note</w:t>
      </w:r>
    </w:p>
    <w:p>
      <w:pPr>
        <w:spacing w:after="160" w:line="276"/>
      </w:pPr>
      <w:r>
        <w:rPr>
          <w:color w:val="222222"/>
          <w:sz w:val="21"/>
          <w:szCs w:val="21"/>
        </w:rPr>
        <w:t xml:space="preserve">Functional requirements FR-3.x, FR-4.x, and FR-5.x trace directly to BR-01, BR-02, BR-03, and BR-06 in the BRD, and to the Materiality Assessment, Governance Documentation, and Indicator Data Management feature sets in the PRD. FR-6.x, FR-7.x, and FR-8.4 trace to BR-07 and BR-08 and to the Issuer-Ready feature set (Section 5.7 of the PRD).</w:t>
      </w:r>
    </w:p>
    <w:p>
      <w:pPr>
        <w:spacing w:after="160" w:line="276"/>
      </w:pPr>
      <w:r>
        <w:rPr>
          <w:color w:val="222222"/>
          <w:sz w:val="21"/>
          <w:szCs w:val="21"/>
        </w:rPr>
        <w:t xml:space="preserve">This SRS reflects Bursa Malaysia's Listing Requirements as amended 23 December 2024 and the NSRF launched 24 September 2024, not the 3rd Edition Sustainability Reporting Guide (2022) in isolation. Any further regulatory change, including updates to CSI's data requirements or additional IFRS S1/S2 guidance, should be reflected first in the reference data model (Section 6) before any code-level change, since matter definitions, indicator sets, and market classifications are all designed as configurable data rather than hard-coded logic.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SRS — SDG/ESG SME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2026-07-02T17:56:14.444Z</dcterms:created>
  <dcterms:modified xsi:type="dcterms:W3CDTF">2026-07-02T17:56:14.444Z</dcterms:modified>
</cp:coreProperties>
</file>

<file path=docProps/custom.xml><?xml version="1.0" encoding="utf-8"?>
<Properties xmlns="http://schemas.openxmlformats.org/officeDocument/2006/custom-properties" xmlns:vt="http://schemas.openxmlformats.org/officeDocument/2006/docPropsVTypes"/>
</file>