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200"/>
        <w:jc w:val="center"/>
      </w:pPr>
      <w:r>
        <w:rPr>
          <w:b/>
          <w:bCs/>
          <w:color w:val="2E7D5B"/>
          <w:sz w:val="28"/>
          <w:szCs w:val="28"/>
        </w:rPr>
        <w:t xml:space="preserve">PRODUCT REQUIREMENTS DOCUMENT</w:t>
      </w:r>
    </w:p>
    <w:p>
      <w:pPr>
        <w:spacing w:after="200"/>
        <w:jc w:val="center"/>
      </w:pPr>
      <w:r>
        <w:rPr>
          <w:b/>
          <w:bCs/>
          <w:color w:val="1F3A5F"/>
          <w:sz w:val="44"/>
          <w:szCs w:val="44"/>
        </w:rPr>
        <w:t xml:space="preserve">SDG/ESG Compliance Platform</w:t>
      </w:r>
    </w:p>
    <w:p>
      <w:pPr>
        <w:spacing w:after="800"/>
        <w:jc w:val="center"/>
      </w:pPr>
      <w:r>
        <w:rPr>
          <w:color w:val="595959"/>
          <w:sz w:val="24"/>
          <w:szCs w:val="24"/>
        </w:rPr>
        <w:t xml:space="preserve">A SEDG-aligned sustainability disclosure platform for Malaysian SMEs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Prepared for: Sarvess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Market: Malaysia (SME / SEDG-aligned segment)</w:t>
      </w:r>
    </w:p>
    <w:p>
      <w:pPr>
        <w:spacing w:after="80"/>
        <w:jc w:val="center"/>
      </w:pPr>
      <w:r>
        <w:rPr>
          <w:color w:val="595959"/>
          <w:sz w:val="20"/>
          <w:szCs w:val="20"/>
        </w:rPr>
        <w:t xml:space="preserve">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1. Document Control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Document Type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Product Requirements Document (PRD)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Related Document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BRD_SDG_ESG_Platform.docx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Version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Date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July 2026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Author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Sarvess</w:t>
            </w:r>
          </w:p>
        </w:tc>
      </w:tr>
    </w:tbl>
    <w:p>
      <w:pPr>
        <w:spacing w:after="300"/>
      </w:pP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color w:val="222222"/>
          <w:sz w:val="21"/>
          <w:szCs w:val="21"/>
        </w:rPr>
        <w:t xml:space="preserve">A tiered SaaS platform covering the full spectrum of Malaysian ESG disclosure needs: from SMEs producing their first SEDG-aligned disclosure, through growing SMEs with recurring buyer/bank requests, up to Main Market and ACE Market listed issuers who need a data-management and assurance-readiness layer ahead of submitting through Bursa's mandatory Centralised Sustainability Intelligence (CSI) platform.</w:t>
      </w:r>
    </w:p>
    <w:p>
      <w:pPr>
        <w:spacing w:after="160" w:line="276"/>
      </w:pPr>
      <w:r>
        <w:rPr>
          <w:color w:val="222222"/>
          <w:sz w:val="21"/>
          <w:szCs w:val="21"/>
        </w:rPr>
        <w:t xml:space="preserve">Positioning note: for listed issuers, Bursa's CSI platform is the mandatory, free, sole official reporting channel as of December 2025 — this product does not replace CSI. The Issuer-Ready plan's role is to be the internal workspace where sustainability teams collect, validate, assure, and organise data (including IFRS S1/S2 structured disclosures) before transferring the finalised output into CSI. That readiness-and-validation layer is where genuine product value exists for this segment.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3. Target Users / Personas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Persona 1 — SME Sustainability Owner ("Mei Ling") — Starter / Growth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Finance manager or admin lead at a 30–150 employee manufacturing or logistics SME, ESG responsibility added to an existing role.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No formal sustainability training; received a supplier ESG data request from a large buyer or bank.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Needs: a clear starting point, minimal jargon, low time investment, defensible output to send to the requester.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Persona 2 — ESG Consultant / Advisor ("Farah") — cross-plan add-on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Independent consultant or small advisory firm supporting multiple SME and/or issuer clients.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Needs: a tool to manage several client accounts efficiently, replacing manual spreadsheet templates.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Persona 3 — Issuer Sustainability Manager ("Kevin") — Issuer-Ready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Sustainability or finance team member at a Main Market or ACE Market listed issuer, responsible for coordinating IFRS S1/S2 data collection across departments and eventual CSI submission.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Needs: a structured internal workspace with audit trail, multi-year tracking, assurance-ready documentation, and a clean CSI-compatible export, replacing scattered spreadsheets and email threads across departments.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Persona 4 — Buyer / Data Requester (secondary, non-paying)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Procurement or sustainability team at a large issuer requesting supplier ESG data.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Needs: a consistent, comparable data format across suppliers, served indirectly via the platform's export format.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4. Goals and Non-Goals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Goals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222222"/>
          <w:sz w:val="21"/>
          <w:szCs w:val="21"/>
        </w:rPr>
        <w:t xml:space="preserve">Let an SME complete a first materiality assessment and baseline disclosure in under a day, without external help.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222222"/>
          <w:sz w:val="21"/>
          <w:szCs w:val="21"/>
        </w:rPr>
        <w:t xml:space="preserve">Make multi-year indicator tracking and target-setting easier to maintain than a spreadsheet.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222222"/>
          <w:sz w:val="21"/>
          <w:szCs w:val="21"/>
        </w:rPr>
        <w:t xml:space="preserve">Provide export output that a buyer, bank, or auditor will accept as a credible disclosure summary.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222222"/>
          <w:sz w:val="21"/>
          <w:szCs w:val="21"/>
        </w:rPr>
        <w:t xml:space="preserve">Validate willingness to pay with a small pilot cohort before expanding scope.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Cover the complete Bursa-relevant disclosure landscape across three plans, so the product's ceiling is not artificially capped at SME scope.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Non-Goals (all phases)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Replacing or integrating directly with Bursa's CSI platform — no public integration channel exists; the Issuer-Ready plan is a pre-CSI readiness layer, not a submission channel.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Acting as the statutory system of record for a Sustainability Statement — issuers remain responsible for final CSI submission and statutory filing.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Performing the external assurance itself — the platform prepares assurance-ready documentation but does not replace a licensed assurance provider.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5. Feature Set</w:t>
      </w:r>
    </w:p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5.1 Onboarding &amp; Company Profile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00"/>
        <w:gridCol w:w="15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Company setup wizard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Capture company size, sector, and reason for adoption (buyer request, bank request, voluntary)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Sector tagging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Tag company to a sector for future sector-specific indicator relevance (pilot: Manufacturing)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Tier selection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Choose Basic / Intermediate / Advanced maturity tier, mirroring SEDG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5.2 Materiality Assessment Module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00"/>
        <w:gridCol w:w="15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Stakeholder mapping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Identify relevant stakeholder groups (employees, customers, investors, community, regulators)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Matter prioritisation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Score the 11 common sustainability matters by impact and stakeholder influence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Materiality matrix output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Visual matrix + ranked list, exportable, used to guide which indicators to prioritise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5.3 Governance Documentation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00"/>
        <w:gridCol w:w="15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Governance structure builder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Document oversight, strategic management, and day-to-day roles for sustainability accountability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Roles &amp; responsibilities log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Assign named/role-based owners per sustainability matter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5.4 Indicator Data Management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Monthly data entry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Log indicator data monthly as it becomes available, rather than pre-calculating an annual figure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Automatic annual aggregation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Platform computes the disclosure-facing annual value from monthly entries (sum/latest/average/count depending on indicator type) — no manual totalling by the user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Common indicator forms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Structured input for all applicable matters per plan and market classification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Multi-year data table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Store and display at least 3 financial years per indicator, per Bursa's rolling 3-year requirement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Target vs. actual tracking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Set performance targets per indicator and compare against the computed annual actual over time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Pilot sector-specific [S] indicators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One pilot sector module (e.g. Manufacturing) with additional relevant indicators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Monthly drill-down / audit trail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View the underlying monthly entries behind any computed annual figure, with entry source and timestamp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5.5 Reporting &amp; Export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Disclosure summary export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Generate a formatted PDF/Word summary suitable for buyer, bank, or annual-report input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Progress dashboard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At-a-glance view of completion status across the 11 matters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Benchmark view (future)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Compare anonymised performance against sector peers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5.6 Account &amp; Billing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4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Tiered subscription billing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Basic / Intermediate / Advanced pricing tiers, monthly or annual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Consultant multi-client view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Allow a consultant account to manage multiple SME client instances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F3A5F"/>
          <w:sz w:val="24"/>
          <w:szCs w:val="24"/>
        </w:rPr>
        <w:t xml:space="preserve">5.7 Issuer-Ready Plan Features (IFRS S1/S2, complete Bursa coverage)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00"/>
        <w:gridCol w:w="15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Market-aware matter set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Auto-applies 9 Common Sustainability Matters for Main Market or 11 for ACE Market (9 + waste + emissions)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IFRS S1 general disclosures module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Structured capture of material sustainability-related risks/opportunities per IFRS S1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IFRS S2 climate module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Governance, strategy, risk management, and metrics/targets for climate, absorbing what was formerly the standalone TCFD chapter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Full Scope 1/2/3 GHG tracking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Including climate-first transition relief handling and principal-business-segment scoping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Assurance-readiness workspace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Structured audit trail, internal review sign-off, and documentation packaging aligned to what external assurance providers require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CSI-compatible export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Generates output structured to match Bursa's CSI data requirements for manual transfer into CSI by the issuer's team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Multi-sector indicator library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Full Bursa sector classification coverage, not limited to one pilot sector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Multi-department contributor roles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Allow multiple internal contributors (e.g. HR, EHS, finance) to own specific matters within one issuer account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6. Pricing Tiers (proposed)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200"/>
        <w:gridCol w:w="17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 Customer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tcW w:type="dxa" w:w="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 Price (RM/month, indicative)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Starter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SME, first-time voluntary disclosure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SEDG Basic tier, guided materiality, single-year data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99–199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Growth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SME with recurring buyer/bank requests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Full SEDG (35 disclosures), 3-year tracking, governance, 1 sector module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299–399</w:t>
            </w:r>
          </w:p>
        </w:tc>
      </w:tr>
      <w:tr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Issuer-Ready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Main/ACE Market issuers, large non-listed companies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IFRS S1/S2, full Scope 1-3, assurance-readiness, CSI-compatible export, multi-sector</w:t>
            </w:r>
          </w:p>
        </w:tc>
        <w:tc>
          <w:tcPr>
            <w:tcW w:type="dxa" w:w="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1,500–4,000+</w:t>
            </w:r>
          </w:p>
        </w:tc>
      </w:tr>
    </w:tbl>
    <w:p>
      <w:pPr>
        <w:spacing w:after="160" w:line="276"/>
      </w:pPr>
      <w:r>
        <w:rPr>
          <w:color w:val="222222"/>
          <w:sz w:val="21"/>
          <w:szCs w:val="21"/>
        </w:rPr>
        <w:t xml:space="preserve">Issuer-Ready pricing sits at enterprise SaaS levels reflecting its scope and buyer profile; it should be validated with 1–2 design-partner issuers before being finalised. Starter/Growth pricing should be validated with pilot SME customers per the BRD's success metrics gate.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7. Release Plan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Phase 1 — Starter MVP (Months 1–4, solo build)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Company setup, materiality assessment, SEDG Basic-tier indicator forms, basic export.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Target: 3–5 pilot SME customers, free or heavily discounted, in exchange for feedback.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Phase 2 — Growth Plan &amp; Paid Launch (Months 5–8)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Full SEDG indicator set, multi-year tracking, target-setting, governance module, tiered billing.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Target: convert pilots to paying customers; onboard first cohort at list price.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Phase 3 — SME Expansion (Months 9–14)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Pilot sector-specific indicator module, audit trail, consultant multi-client view.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Target: 20–50 paying SME customers (Year 2 scenario).</w:t>
      </w:r>
    </w:p>
    <w:p>
      <w:pPr>
        <w:pStyle w:val="Heading3"/>
        <w:spacing w:after="100" w:before="200"/>
      </w:pPr>
      <w:r>
        <w:rPr>
          <w:b/>
          <w:bCs/>
          <w:color w:val="2E7D5B"/>
          <w:sz w:val="21"/>
          <w:szCs w:val="21"/>
        </w:rPr>
        <w:t xml:space="preserve">Phase 4 — Issuer-Ready Plan (Months 15+, gated on SME traction and/or a design-partner issuer)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IFRS S1/S2 modules, full Scope 1-3, assurance-readiness workspace, CSI-compatible export, multi-sector coverage.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This phase should not start until either SME revenue funds it, or a listed-issuer design partner is secured — the scope here is materially larger than Starter/Growth and mis-sequencing it risks repeating the multi-project focus problem from prior ventures.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8. Success Metrics / KPIs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Activation: % of signups completing materiality assessment within 7 days.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Time-to-first-disclosure: median hours from signup to first completed export.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Paid conversion rate from pilot to paying tier.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Net revenue retention at 12 months.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Customer count and revenue vs. the Year 1/2/3 scenarios previously modelled.</w:t>
      </w:r>
    </w:p>
    <w:p>
      <w:pPr>
        <w:pStyle w:val="Heading1"/>
        <w:spacing w:after="200" w:before="400"/>
      </w:pPr>
      <w:r>
        <w:rPr>
          <w:b/>
          <w:bCs/>
          <w:color w:val="1F3A5F"/>
          <w:sz w:val="30"/>
          <w:szCs w:val="30"/>
        </w:rPr>
        <w:t xml:space="preserve">9. Open Questions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Which pilot sector should be the first sector-specific module — Manufacturing (largest SME base) or another sector with a clearer buyer-driven demand signal?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Should consultant/auditor accounts be a Phase 1 acquisition channel rather than a later feature?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222222"/>
          <w:sz w:val="21"/>
          <w:szCs w:val="21"/>
        </w:rPr>
        <w:t xml:space="preserve">Is Bahasa Malaysia localisation needed for Phase 1 or can it wait, given SEDG itself offers a Bahasa Malaysia version?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PRD — SDG/ESG SME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2026-07-16T01:52:44.815Z</dcterms:created>
  <dcterms:modified xsi:type="dcterms:W3CDTF">2026-07-16T01:52:44.816Z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