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200"/>
        <w:jc w:val="center"/>
      </w:pPr>
      <w:r>
        <w:rPr>
          <w:b/>
          <w:bCs/>
          <w:color w:val="2E7D5B"/>
          <w:sz w:val="28"/>
          <w:szCs w:val="28"/>
        </w:rPr>
        <w:t xml:space="preserve">BUSINESS REQUIREMENTS DOCUMENT</w:t>
      </w:r>
    </w:p>
    <w:p>
      <w:pPr>
        <w:spacing w:after="200"/>
        <w:jc w:val="center"/>
      </w:pPr>
      <w:r>
        <w:rPr>
          <w:b/>
          <w:bCs/>
          <w:color w:val="1F3A5F"/>
          <w:sz w:val="44"/>
          <w:szCs w:val="44"/>
        </w:rPr>
        <w:t xml:space="preserve">SDG/ESG Compliance Platform</w:t>
      </w:r>
    </w:p>
    <w:p>
      <w:pPr>
        <w:spacing w:after="800"/>
        <w:jc w:val="center"/>
      </w:pPr>
      <w:r>
        <w:rPr>
          <w:color w:val="595959"/>
          <w:sz w:val="24"/>
          <w:szCs w:val="24"/>
        </w:rPr>
        <w:t xml:space="preserve">A SEDG-aligned sustainability disclosure &amp; reporting-operations platform for Malaysia</w:t>
      </w:r>
    </w:p>
    <w:p>
      <w:pPr>
        <w:spacing w:after="80"/>
        <w:jc w:val="center"/>
      </w:pPr>
      <w:r>
        <w:rPr>
          <w:color w:val="595959"/>
          <w:sz w:val="20"/>
          <w:szCs w:val="20"/>
        </w:rPr>
        <w:t xml:space="preserve">Prepared for: Sarvess</w:t>
      </w:r>
    </w:p>
    <w:p>
      <w:pPr>
        <w:spacing w:after="80"/>
        <w:jc w:val="center"/>
      </w:pPr>
      <w:r>
        <w:rPr>
          <w:color w:val="595959"/>
          <w:sz w:val="20"/>
          <w:szCs w:val="20"/>
        </w:rPr>
        <w:t xml:space="preserve">Market: Malaysia (SME / SEDG-aligned segment)</w:t>
      </w:r>
    </w:p>
    <w:p>
      <w:pPr>
        <w:spacing w:after="80"/>
        <w:jc w:val="center"/>
      </w:pPr>
      <w:r>
        <w:rPr>
          <w:color w:val="595959"/>
          <w:sz w:val="20"/>
          <w:szCs w:val="20"/>
        </w:rPr>
        <w:t xml:space="preserve">Version 1.1 — August 2026</w:t>
      </w:r>
    </w:p>
    <w:p>
      <w:r>
        <w:br w:type="page"/>
      </w:r>
    </w:p>
    <w:p>
      <w:pPr>
        <w:pStyle w:val="Heading1"/>
        <w:spacing w:after="200" w:before="400"/>
      </w:pPr>
      <w:r>
        <w:rPr>
          <w:b/>
          <w:bCs/>
          <w:color w:val="1F3A5F"/>
          <w:sz w:val="30"/>
          <w:szCs w:val="30"/>
        </w:rPr>
        <w:t xml:space="preserve">1. Document Control</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000"/>
        <w:gridCol w:w="65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Field</w:t>
            </w:r>
          </w:p>
        </w:tc>
        <w:tc>
          <w:tcPr>
            <w:tcW w:type="dxa" w:w="0"/>
            <w:shd w:fill="1F3A5F" w:val="clear"/>
            <w:tcMar>
              <w:top w:type="dxa" w:w="80"/>
              <w:left w:type="dxa" w:w="100"/>
              <w:bottom w:type="dxa" w:w="80"/>
              <w:right w:type="dxa" w:w="100"/>
            </w:tcMar>
          </w:tcPr>
          <w:p>
            <w:r>
              <w:rPr>
                <w:b/>
                <w:bCs/>
                <w:color w:val="FFFFFF"/>
                <w:sz w:val="19"/>
                <w:szCs w:val="19"/>
              </w:rPr>
              <w:t xml:space="preserve">Detail</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Document Type</w:t>
            </w:r>
          </w:p>
        </w:tc>
        <w:tc>
          <w:tcPr>
            <w:tcW w:type="dxa" w:w="0"/>
            <w:shd w:fill="FFFFFF" w:val="clear"/>
            <w:tcMar>
              <w:top w:type="dxa" w:w="80"/>
              <w:left w:type="dxa" w:w="100"/>
              <w:bottom w:type="dxa" w:w="80"/>
              <w:right w:type="dxa" w:w="100"/>
            </w:tcMar>
          </w:tcPr>
          <w:p>
            <w:r>
              <w:rPr>
                <w:b w:val="false"/>
                <w:bCs w:val="false"/>
                <w:color w:val="222222"/>
                <w:sz w:val="19"/>
                <w:szCs w:val="19"/>
              </w:rPr>
              <w:t xml:space="preserve">Business Requirements Document (BRD)</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Product Working Name</w:t>
            </w:r>
          </w:p>
        </w:tc>
        <w:tc>
          <w:tcPr>
            <w:tcW w:type="dxa" w:w="0"/>
            <w:shd w:fill="FFFFFF" w:val="clear"/>
            <w:tcMar>
              <w:top w:type="dxa" w:w="80"/>
              <w:left w:type="dxa" w:w="100"/>
              <w:bottom w:type="dxa" w:w="80"/>
              <w:right w:type="dxa" w:w="100"/>
            </w:tcMar>
          </w:tcPr>
          <w:p>
            <w:r>
              <w:rPr>
                <w:b w:val="false"/>
                <w:bCs w:val="false"/>
                <w:color w:val="222222"/>
                <w:sz w:val="19"/>
                <w:szCs w:val="19"/>
              </w:rPr>
              <w:t xml:space="preserve">TBD (SDG/ESG Platform)</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Version</w:t>
            </w:r>
          </w:p>
        </w:tc>
        <w:tc>
          <w:tcPr>
            <w:tcW w:type="dxa" w:w="0"/>
            <w:shd w:fill="FFFFFF" w:val="clear"/>
            <w:tcMar>
              <w:top w:type="dxa" w:w="80"/>
              <w:left w:type="dxa" w:w="100"/>
              <w:bottom w:type="dxa" w:w="80"/>
              <w:right w:type="dxa" w:w="100"/>
            </w:tcMar>
          </w:tcPr>
          <w:p>
            <w:r>
              <w:rPr>
                <w:b w:val="false"/>
                <w:bCs w:val="false"/>
                <w:color w:val="222222"/>
                <w:sz w:val="19"/>
                <w:szCs w:val="19"/>
              </w:rPr>
              <w:t xml:space="preserve">1.1</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Date</w:t>
            </w:r>
          </w:p>
        </w:tc>
        <w:tc>
          <w:tcPr>
            <w:tcW w:type="dxa" w:w="0"/>
            <w:shd w:fill="FFFFFF" w:val="clear"/>
            <w:tcMar>
              <w:top w:type="dxa" w:w="80"/>
              <w:left w:type="dxa" w:w="100"/>
              <w:bottom w:type="dxa" w:w="80"/>
              <w:right w:type="dxa" w:w="100"/>
            </w:tcMar>
          </w:tcPr>
          <w:p>
            <w:r>
              <w:rPr>
                <w:b w:val="false"/>
                <w:bCs w:val="false"/>
                <w:color w:val="222222"/>
                <w:sz w:val="19"/>
                <w:szCs w:val="19"/>
              </w:rPr>
              <w:t xml:space="preserve">August 2026</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Author</w:t>
            </w:r>
          </w:p>
        </w:tc>
        <w:tc>
          <w:tcPr>
            <w:tcW w:type="dxa" w:w="0"/>
            <w:shd w:fill="FFFFFF" w:val="clear"/>
            <w:tcMar>
              <w:top w:type="dxa" w:w="80"/>
              <w:left w:type="dxa" w:w="100"/>
              <w:bottom w:type="dxa" w:w="80"/>
              <w:right w:type="dxa" w:w="100"/>
            </w:tcMar>
          </w:tcPr>
          <w:p>
            <w:r>
              <w:rPr>
                <w:b w:val="false"/>
                <w:bCs w:val="false"/>
                <w:color w:val="222222"/>
                <w:sz w:val="19"/>
                <w:szCs w:val="19"/>
              </w:rPr>
              <w:t xml:space="preserve">Sarvess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Status</w:t>
            </w:r>
          </w:p>
        </w:tc>
        <w:tc>
          <w:tcPr>
            <w:tcW w:type="dxa" w:w="0"/>
            <w:shd w:fill="FFFFFF" w:val="clear"/>
            <w:tcMar>
              <w:top w:type="dxa" w:w="80"/>
              <w:left w:type="dxa" w:w="100"/>
              <w:bottom w:type="dxa" w:w="80"/>
              <w:right w:type="dxa" w:w="100"/>
            </w:tcMar>
          </w:tcPr>
          <w:p>
            <w:r>
              <w:rPr>
                <w:b w:val="false"/>
                <w:bCs w:val="false"/>
                <w:color w:val="222222"/>
                <w:sz w:val="19"/>
                <w:szCs w:val="19"/>
              </w:rPr>
              <w:t xml:space="preserve">Draft for validation</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Change Note</w:t>
            </w:r>
          </w:p>
        </w:tc>
        <w:tc>
          <w:tcPr>
            <w:tcW w:type="dxa" w:w="0"/>
            <w:shd w:fill="FFFFFF" w:val="clear"/>
            <w:tcMar>
              <w:top w:type="dxa" w:w="80"/>
              <w:left w:type="dxa" w:w="100"/>
              <w:bottom w:type="dxa" w:w="80"/>
              <w:right w:type="dxa" w:w="100"/>
            </w:tcMar>
          </w:tcPr>
          <w:p>
            <w:r>
              <w:rPr>
                <w:b w:val="false"/>
                <w:bCs w:val="false"/>
                <w:color w:val="222222"/>
                <w:sz w:val="19"/>
                <w:szCs w:val="19"/>
              </w:rPr>
              <w:t xml:space="preserve">v1.1 repositions the Issuer-Ready plan around reporting operations (data coordination, monthly tracking, audit trail) after confirming Bursa's CSI platform is the mandatory free compliance/calculation channel for listed issuers.</w:t>
            </w:r>
          </w:p>
        </w:tc>
      </w:tr>
    </w:tbl>
    <w:p>
      <w:pPr>
        <w:spacing w:after="300"/>
      </w:pPr>
    </w:p>
    <w:p>
      <w:pPr>
        <w:pStyle w:val="Heading1"/>
        <w:spacing w:after="200" w:before="400"/>
      </w:pPr>
      <w:r>
        <w:rPr>
          <w:b/>
          <w:bCs/>
          <w:color w:val="1F3A5F"/>
          <w:sz w:val="30"/>
          <w:szCs w:val="30"/>
        </w:rPr>
        <w:t xml:space="preserve">2. Executive Summary</w:t>
      </w:r>
    </w:p>
    <w:p>
      <w:pPr>
        <w:spacing w:after="160" w:line="276"/>
      </w:pPr>
      <w:r>
        <w:rPr>
          <w:color w:val="222222"/>
          <w:sz w:val="21"/>
          <w:szCs w:val="21"/>
        </w:rPr>
        <w:t xml:space="preserve">Malaysian SMEs sitting inside the supply chains of Bursa-listed issuers are facing mounting ESG disclosure pressure without the tooling, budget, or in-house expertise to respond. Capital Markets Malaysia's Simplified ESG Disclosure Guide (SEDG) gives this segment a standardised, regulator-endorsed framework, but adoption remains low because compliance is still manual — spreadsheets, PDFs, and ad hoc consultant engagements. This platform proposes a SaaS product that operationalises SEDG into a guided, tiered, software-driven workflow for SMEs, priced and scoped for a segment that larger enterprise ESG platforms do not efficiently serve.</w:t>
      </w:r>
    </w:p>
    <w:p>
      <w:pPr>
        <w:spacing w:after="160" w:line="276"/>
      </w:pPr>
      <w:r>
        <w:rPr>
          <w:color w:val="222222"/>
          <w:sz w:val="21"/>
          <w:szCs w:val="21"/>
        </w:rPr>
        <w:t xml:space="preserve">For listed issuers, the opportunity is narrower and must be stated precisely. Bursa Malaysia's Centralised Sustainability Intelligence (CSI) platform is now the mandatory, free, official disclosure channel — it accepts final data directly from issuers, and even includes a free Scope 1/2 carbon calculator and Scope 3 estimation tool. A third-party product cannot compete with CSI as a compliance or calculation tool, and should not try to. What CSI does not provide is a year-round internal workspace: it is a single data-entry portal, not a coordination system for the finance, HR, EHS, and operations teams who each hold a piece of the required data across 9-11 sustainability matters. The Issuer-Ready plan is therefore positioned as a reporting operations layer — the internal system that collects, tracks, aggregates, and validates data monthly across departments so that the one annual CSI data-entry session takes an hour instead of weeks of chasing colleagues by email. This is a narrower, more defensible value proposition than "complete Bursa compliance," and the product should be built and marketed accordingly.</w:t>
      </w:r>
    </w:p>
    <w:p>
      <w:pPr>
        <w:spacing w:after="160" w:line="276"/>
      </w:pPr>
      <w:r>
        <w:rPr>
          <w:color w:val="222222"/>
          <w:sz w:val="21"/>
          <w:szCs w:val="21"/>
        </w:rPr>
        <w:t xml:space="preserve">The business opportunity rests on three converging forces: (1) regulatory cascade — large issuers must report Scope 3 and supply-chain ESG data, pushing the obligation down to SME suppliers; (2) commercial pressure — banks and GLC buyers increasingly use ESG data as a financing and tendering criterion; and (3) a documented capability gap — SMEs cite cost, complexity, and lack of guidance as the primary barriers to adoption, which is precisely what a well-designed SaaS product reduces. For issuers specifically, the gap is internal coordination, not calculation or compliance know-how — CSI already covers the latter for free.</w:t>
      </w:r>
    </w:p>
    <w:p>
      <w:pPr>
        <w:pStyle w:val="Heading1"/>
        <w:spacing w:after="200" w:before="400"/>
      </w:pPr>
      <w:r>
        <w:rPr>
          <w:b/>
          <w:bCs/>
          <w:color w:val="1F3A5F"/>
          <w:sz w:val="30"/>
          <w:szCs w:val="30"/>
        </w:rPr>
        <w:t xml:space="preserve">3. Business Objectives</w:t>
      </w:r>
    </w:p>
    <w:p>
      <w:pPr>
        <w:pStyle w:val="ListParagraph"/>
        <w:numPr>
          <w:ilvl w:val="0"/>
          <w:numId w:val="2"/>
        </w:numPr>
        <w:spacing w:after="80" w:line="270"/>
      </w:pPr>
      <w:r>
        <w:rPr>
          <w:color w:val="222222"/>
          <w:sz w:val="21"/>
          <w:szCs w:val="21"/>
        </w:rPr>
        <w:t xml:space="preserve">Capture early market share in the underserved Malaysian SME ESG-compliance segment before larger enterprise-focused ESG vendors move down-market.</w:t>
      </w:r>
    </w:p>
    <w:p>
      <w:pPr>
        <w:pStyle w:val="ListParagraph"/>
        <w:numPr>
          <w:ilvl w:val="0"/>
          <w:numId w:val="2"/>
        </w:numPr>
        <w:spacing w:after="80" w:line="270"/>
      </w:pPr>
      <w:r>
        <w:rPr>
          <w:color w:val="222222"/>
          <w:sz w:val="21"/>
          <w:szCs w:val="21"/>
        </w:rPr>
        <w:t xml:space="preserve">Reduce the cost and expertise barrier for SMEs to produce SEDG-aligned and Bursa-indicator-aligned sustainability disclosures.</w:t>
      </w:r>
    </w:p>
    <w:p>
      <w:pPr>
        <w:pStyle w:val="ListParagraph"/>
        <w:numPr>
          <w:ilvl w:val="0"/>
          <w:numId w:val="2"/>
        </w:numPr>
        <w:spacing w:after="80" w:line="270"/>
      </w:pPr>
      <w:r>
        <w:rPr>
          <w:color w:val="222222"/>
          <w:sz w:val="21"/>
          <w:szCs w:val="21"/>
        </w:rPr>
        <w:t xml:space="preserve">Build a recurring-revenue SaaS business validated by a small paying cohort within Year 1, scaling toward sustainable profitability by Year 2–3.</w:t>
      </w:r>
    </w:p>
    <w:p>
      <w:pPr>
        <w:pStyle w:val="ListParagraph"/>
        <w:numPr>
          <w:ilvl w:val="0"/>
          <w:numId w:val="2"/>
        </w:numPr>
        <w:spacing w:after="80" w:line="270"/>
      </w:pPr>
      <w:r>
        <w:rPr>
          <w:color w:val="222222"/>
          <w:sz w:val="21"/>
          <w:szCs w:val="21"/>
        </w:rPr>
        <w:t xml:space="preserve">Establish a data and workflow foundation (materiality assessment, governance documentation, multi-year indicator tracking) that can extend to adjacent segments — consultants/auditors and eventually issuers — without a full rebuild.</w:t>
      </w:r>
    </w:p>
    <w:p>
      <w:pPr>
        <w:pStyle w:val="ListParagraph"/>
        <w:numPr>
          <w:ilvl w:val="0"/>
          <w:numId w:val="2"/>
        </w:numPr>
        <w:spacing w:after="80" w:line="270"/>
      </w:pPr>
      <w:r>
        <w:rPr>
          <w:color w:val="222222"/>
          <w:sz w:val="21"/>
          <w:szCs w:val="21"/>
        </w:rPr>
        <w:t xml:space="preserve">For the Issuer-Ready plan specifically, win on internal reporting-operations value (department coordination, monthly data collection, audit trail) rather than attempting to duplicate Bursa's free CSI compliance or calculation tools.</w:t>
      </w:r>
    </w:p>
    <w:p>
      <w:pPr>
        <w:spacing w:after="200"/>
      </w:pPr>
    </w:p>
    <w:p>
      <w:pPr>
        <w:pStyle w:val="Heading1"/>
        <w:spacing w:after="200" w:before="400"/>
      </w:pPr>
      <w:r>
        <w:rPr>
          <w:b/>
          <w:bCs/>
          <w:color w:val="1F3A5F"/>
          <w:sz w:val="30"/>
          <w:szCs w:val="30"/>
        </w:rPr>
        <w:t xml:space="preserve">4. Background and Market Context</w:t>
      </w:r>
    </w:p>
    <w:p>
      <w:pPr>
        <w:pStyle w:val="Heading3"/>
        <w:spacing w:after="100" w:before="200"/>
      </w:pPr>
      <w:r>
        <w:rPr>
          <w:b/>
          <w:bCs/>
          <w:color w:val="2E7D5B"/>
          <w:sz w:val="21"/>
          <w:szCs w:val="21"/>
        </w:rPr>
        <w:t xml:space="preserve">4.1 Regulatory drivers</w:t>
      </w:r>
    </w:p>
    <w:p>
      <w:pPr>
        <w:pStyle w:val="ListParagraph"/>
        <w:numPr>
          <w:ilvl w:val="0"/>
          <w:numId w:val="3"/>
        </w:numPr>
        <w:spacing w:after="80" w:line="270"/>
      </w:pPr>
      <w:r>
        <w:rPr>
          <w:color w:val="222222"/>
          <w:sz w:val="21"/>
          <w:szCs w:val="21"/>
        </w:rPr>
        <w:t xml:space="preserve">National Sustainability Reporting Framework (NSRF): launched by the Securities Commission Malaysia on 24 September 2024, mandates IFRS S1 (general disclosures) and IFRS S2 (climate) as baseline standards for listed issuers and large non-listed companies (RM2 billion+ revenue).</w:t>
      </w:r>
    </w:p>
    <w:p>
      <w:pPr>
        <w:pStyle w:val="ListParagraph"/>
        <w:numPr>
          <w:ilvl w:val="0"/>
          <w:numId w:val="3"/>
        </w:numPr>
        <w:spacing w:after="80" w:line="270"/>
      </w:pPr>
      <w:r>
        <w:rPr>
          <w:color w:val="222222"/>
          <w:sz w:val="21"/>
          <w:szCs w:val="21"/>
        </w:rPr>
        <w:t xml:space="preserve">On 23 December 2024, Bursa Malaysia amended its Main Market and ACE Market Listing Requirements to mandate IFRS S1/S2-aligned Sustainability Statements. Phased rollout: Group 1 (market cap above RM2 billion) from FY2025, Group 2 (other Main Market) from FY2026, Group 3 (ACE Market) from FY2027, with 2 to 3 years of climate-first transition relief.</w:t>
      </w:r>
    </w:p>
    <w:p>
      <w:pPr>
        <w:pStyle w:val="ListParagraph"/>
        <w:numPr>
          <w:ilvl w:val="0"/>
          <w:numId w:val="3"/>
        </w:numPr>
        <w:spacing w:after="80" w:line="270"/>
      </w:pPr>
      <w:r>
        <w:rPr>
          <w:color w:val="222222"/>
          <w:sz w:val="21"/>
          <w:szCs w:val="21"/>
        </w:rPr>
        <w:t xml:space="preserve">Since 15 December 2025, listed issuers must generate their standardised sustainability disclosure summary through Bursa's own Centralised Sustainability Intelligence (CSI) platform and include it unmodified in their Sustainability Statement. Access is granted on request (via csi@bursamalaysia.com), not self-serve, and is provided free. CSI replaced the older Bursa LINK system for this purpose.</w:t>
      </w:r>
    </w:p>
    <w:p>
      <w:pPr>
        <w:pStyle w:val="ListParagraph"/>
        <w:numPr>
          <w:ilvl w:val="0"/>
          <w:numId w:val="3"/>
        </w:numPr>
        <w:spacing w:after="80" w:line="270"/>
      </w:pPr>
      <w:r>
        <w:rPr>
          <w:color w:val="222222"/>
          <w:sz w:val="21"/>
          <w:szCs w:val="21"/>
        </w:rPr>
        <w:t xml:space="preserve">CSI itself includes a free Scope 1/2 carbon calculator and a Scope 3 estimation tool (via FairSupply), plus an official "Value-Added Services" partner tier (e.g. CarbonGPT, SustenyX) offering AI-assisted reporting integrated directly with CSI. Any product strategy for issuers must account for this — CSI is not a passive data repository, it is an increasingly capable free tool in its own right.</w:t>
      </w:r>
    </w:p>
    <w:p>
      <w:pPr>
        <w:pStyle w:val="ListParagraph"/>
        <w:numPr>
          <w:ilvl w:val="0"/>
          <w:numId w:val="3"/>
        </w:numPr>
        <w:spacing w:after="80" w:line="270"/>
      </w:pPr>
      <w:r>
        <w:rPr>
          <w:color w:val="222222"/>
          <w:sz w:val="21"/>
          <w:szCs w:val="21"/>
        </w:rPr>
        <w:t xml:space="preserve">The Common Sustainability Matters were reduced from 11 to 9 for Main Market issuers; ACE Market issuers report 11 (the 9 common matters plus waste management and emissions).</w:t>
      </w:r>
    </w:p>
    <w:p>
      <w:pPr>
        <w:pStyle w:val="ListParagraph"/>
        <w:numPr>
          <w:ilvl w:val="0"/>
          <w:numId w:val="3"/>
        </w:numPr>
        <w:spacing w:after="80" w:line="270"/>
      </w:pPr>
      <w:r>
        <w:rPr>
          <w:color w:val="222222"/>
          <w:sz w:val="21"/>
          <w:szCs w:val="21"/>
        </w:rPr>
        <w:t xml:space="preserve">Simplified ESG Disclosure Guide (SEDG): launched by Capital Markets Malaysia in October 2023, remains the standardised voluntary framework for SMEs in supply chains, not superseded by the CSI/IFRS changes, which apply only to listed issuers and large non-listed companies.</w:t>
      </w:r>
    </w:p>
    <w:p>
      <w:pPr>
        <w:pStyle w:val="Heading3"/>
        <w:spacing w:after="100" w:before="200"/>
      </w:pPr>
      <w:r>
        <w:rPr>
          <w:b/>
          <w:bCs/>
          <w:color w:val="2E7D5B"/>
          <w:sz w:val="21"/>
          <w:szCs w:val="21"/>
        </w:rPr>
        <w:t xml:space="preserve">4.2 Commercial drivers</w:t>
      </w:r>
    </w:p>
    <w:p>
      <w:pPr>
        <w:pStyle w:val="ListParagraph"/>
        <w:numPr>
          <w:ilvl w:val="0"/>
          <w:numId w:val="3"/>
        </w:numPr>
        <w:spacing w:after="80" w:line="270"/>
      </w:pPr>
      <w:r>
        <w:rPr>
          <w:color w:val="222222"/>
          <w:sz w:val="21"/>
          <w:szCs w:val="21"/>
        </w:rPr>
        <w:t xml:space="preserve">Bank Negara climate risk guidelines are pushing banks to score SME borrowers on ESG controls, affecting loan terms.</w:t>
      </w:r>
    </w:p>
    <w:p>
      <w:pPr>
        <w:pStyle w:val="ListParagraph"/>
        <w:numPr>
          <w:ilvl w:val="0"/>
          <w:numId w:val="3"/>
        </w:numPr>
        <w:spacing w:after="80" w:line="270"/>
      </w:pPr>
      <w:r>
        <w:rPr>
          <w:color w:val="222222"/>
          <w:sz w:val="21"/>
          <w:szCs w:val="21"/>
        </w:rPr>
        <w:t xml:space="preserve">GLC and MNC buyers (e.g. utilities, telcos, large manufacturers) are using ESG compliance as a tender tie-breaker, and increasingly need supplier-level Scope 3 data to satisfy their own IFRS S2 disclosures.</w:t>
      </w:r>
    </w:p>
    <w:p>
      <w:pPr>
        <w:pStyle w:val="Heading3"/>
        <w:spacing w:after="100" w:before="200"/>
      </w:pPr>
      <w:r>
        <w:rPr>
          <w:b/>
          <w:bCs/>
          <w:color w:val="2E7D5B"/>
          <w:sz w:val="21"/>
          <w:szCs w:val="21"/>
        </w:rPr>
        <w:t xml:space="preserve">4.3 Critical positioning constraint</w:t>
      </w:r>
    </w:p>
    <w:p>
      <w:pPr>
        <w:spacing w:after="160" w:line="276"/>
      </w:pPr>
      <w:r>
        <w:rPr>
          <w:color w:val="222222"/>
          <w:sz w:val="21"/>
          <w:szCs w:val="21"/>
        </w:rPr>
        <w:t xml:space="preserve">Because CSI is free, official, and increasingly full-featured (including calculation tools and an official partner program), a third-party platform cannot and should not compete with it on compliance or calculation for listed issuers. Data entry into CSI itself is manual and happens directly inside Bursa's platform — no third-party system pushes data into CSI automatically outside the official Value-Added Services partner program. The viable product strategy for this segment is therefore narrow and specific: be the internal system of record that coordinates data collection across departments throughout the year, so the final manual CSI entry session is fast and accurate, not a system that claims to calculate emissions or replace compliance judgment.</w:t>
      </w:r>
    </w:p>
    <w:p>
      <w:pPr>
        <w:pStyle w:val="Heading3"/>
        <w:spacing w:after="100" w:before="200"/>
      </w:pPr>
      <w:r>
        <w:rPr>
          <w:b/>
          <w:bCs/>
          <w:color w:val="2E7D5B"/>
          <w:sz w:val="21"/>
          <w:szCs w:val="21"/>
        </w:rPr>
        <w:t xml:space="preserve">4.4 Adoption barrier (the opportunity)</w:t>
      </w:r>
    </w:p>
    <w:p>
      <w:pPr>
        <w:spacing w:after="160" w:line="276"/>
      </w:pPr>
      <w:r>
        <w:rPr>
          <w:color w:val="222222"/>
          <w:sz w:val="21"/>
          <w:szCs w:val="21"/>
        </w:rPr>
        <w:t xml:space="preserve">Industry research shows that while a majority of SME ESG adopters recognise its value, non-adopters cite three consistent barriers: uncertainty about tangible impact, limited technical knowledge, and high implementation cost. A guided, tiered SaaS product directly addresses all three. For issuers, the analogous barrier is internal coordination overhead, not lack of a compliance channel — CSI already solved that part.</w:t>
      </w:r>
    </w:p>
    <w:p>
      <w:pPr>
        <w:pStyle w:val="Heading1"/>
        <w:spacing w:after="200" w:before="400"/>
      </w:pPr>
      <w:r>
        <w:rPr>
          <w:b/>
          <w:bCs/>
          <w:color w:val="1F3A5F"/>
          <w:sz w:val="30"/>
          <w:szCs w:val="30"/>
        </w:rPr>
        <w:t xml:space="preserve">5. Stakeholders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200"/>
        <w:gridCol w:w="53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Stakeholder</w:t>
            </w:r>
          </w:p>
        </w:tc>
        <w:tc>
          <w:tcPr>
            <w:tcW w:type="dxa" w:w="0"/>
            <w:shd w:fill="1F3A5F" w:val="clear"/>
            <w:tcMar>
              <w:top w:type="dxa" w:w="80"/>
              <w:left w:type="dxa" w:w="100"/>
              <w:bottom w:type="dxa" w:w="80"/>
              <w:right w:type="dxa" w:w="100"/>
            </w:tcMar>
          </w:tcPr>
          <w:p>
            <w:r>
              <w:rPr>
                <w:b/>
                <w:bCs/>
                <w:color w:val="FFFFFF"/>
                <w:sz w:val="19"/>
                <w:szCs w:val="19"/>
              </w:rPr>
              <w:t xml:space="preserve">Interest / Role</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SME sustainability/finance lead</w:t>
            </w:r>
          </w:p>
        </w:tc>
        <w:tc>
          <w:tcPr>
            <w:tcW w:type="dxa" w:w="0"/>
            <w:shd w:fill="FFFFFF" w:val="clear"/>
            <w:tcMar>
              <w:top w:type="dxa" w:w="80"/>
              <w:left w:type="dxa" w:w="100"/>
              <w:bottom w:type="dxa" w:w="80"/>
              <w:right w:type="dxa" w:w="100"/>
            </w:tcMar>
          </w:tcPr>
          <w:p>
            <w:r>
              <w:rPr>
                <w:b w:val="false"/>
                <w:bCs w:val="false"/>
                <w:color w:val="222222"/>
                <w:sz w:val="19"/>
                <w:szCs w:val="19"/>
              </w:rPr>
              <w:t xml:space="preserve">Primary platform user; responsible for data entry and disclosure output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SME senior management / board</w:t>
            </w:r>
          </w:p>
        </w:tc>
        <w:tc>
          <w:tcPr>
            <w:tcW w:type="dxa" w:w="0"/>
            <w:shd w:fill="FFFFFF" w:val="clear"/>
            <w:tcMar>
              <w:top w:type="dxa" w:w="80"/>
              <w:left w:type="dxa" w:w="100"/>
              <w:bottom w:type="dxa" w:w="80"/>
              <w:right w:type="dxa" w:w="100"/>
            </w:tcMar>
          </w:tcPr>
          <w:p>
            <w:r>
              <w:rPr>
                <w:b w:val="false"/>
                <w:bCs w:val="false"/>
                <w:color w:val="222222"/>
                <w:sz w:val="19"/>
                <w:szCs w:val="19"/>
              </w:rPr>
              <w:t xml:space="preserve">Oversight; consumes governance and materiality summaries; approves targets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Issuer sustainability manager</w:t>
            </w:r>
          </w:p>
        </w:tc>
        <w:tc>
          <w:tcPr>
            <w:tcW w:type="dxa" w:w="0"/>
            <w:shd w:fill="FFFFFF" w:val="clear"/>
            <w:tcMar>
              <w:top w:type="dxa" w:w="80"/>
              <w:left w:type="dxa" w:w="100"/>
              <w:bottom w:type="dxa" w:w="80"/>
              <w:right w:type="dxa" w:w="100"/>
            </w:tcMar>
          </w:tcPr>
          <w:p>
            <w:r>
              <w:rPr>
                <w:b w:val="false"/>
                <w:bCs w:val="false"/>
                <w:color w:val="222222"/>
                <w:sz w:val="19"/>
                <w:szCs w:val="19"/>
              </w:rPr>
              <w:t xml:space="preserve">Coordinates data collection across departments; final data entered into CSI by this person or their team</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Issuer departmental contributors (HR, EHS, finance, ops)</w:t>
            </w:r>
          </w:p>
        </w:tc>
        <w:tc>
          <w:tcPr>
            <w:tcW w:type="dxa" w:w="0"/>
            <w:shd w:fill="FFFFFF" w:val="clear"/>
            <w:tcMar>
              <w:top w:type="dxa" w:w="80"/>
              <w:left w:type="dxa" w:w="100"/>
              <w:bottom w:type="dxa" w:w="80"/>
              <w:right w:type="dxa" w:w="100"/>
            </w:tcMar>
          </w:tcPr>
          <w:p>
            <w:r>
              <w:rPr>
                <w:b w:val="false"/>
                <w:bCs w:val="false"/>
                <w:color w:val="222222"/>
                <w:sz w:val="19"/>
                <w:szCs w:val="19"/>
              </w:rPr>
              <w:t xml:space="preserve">Each holds a piece of the required data; currently coordinated by email/spreadsheet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Large issuer / buyer (data requester)</w:t>
            </w:r>
          </w:p>
        </w:tc>
        <w:tc>
          <w:tcPr>
            <w:tcW w:type="dxa" w:w="0"/>
            <w:shd w:fill="FFFFFF" w:val="clear"/>
            <w:tcMar>
              <w:top w:type="dxa" w:w="80"/>
              <w:left w:type="dxa" w:w="100"/>
              <w:bottom w:type="dxa" w:w="80"/>
              <w:right w:type="dxa" w:w="100"/>
            </w:tcMar>
          </w:tcPr>
          <w:p>
            <w:r>
              <w:rPr>
                <w:b w:val="false"/>
                <w:bCs w:val="false"/>
                <w:color w:val="222222"/>
                <w:sz w:val="19"/>
                <w:szCs w:val="19"/>
              </w:rPr>
              <w:t xml:space="preserve">Receives SME disclosure output; may drive SME adoption as a supply-chain 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Bank / financier</w:t>
            </w:r>
          </w:p>
        </w:tc>
        <w:tc>
          <w:tcPr>
            <w:tcW w:type="dxa" w:w="0"/>
            <w:shd w:fill="FFFFFF" w:val="clear"/>
            <w:tcMar>
              <w:top w:type="dxa" w:w="80"/>
              <w:left w:type="dxa" w:w="100"/>
              <w:bottom w:type="dxa" w:w="80"/>
              <w:right w:type="dxa" w:w="100"/>
            </w:tcMar>
          </w:tcPr>
          <w:p>
            <w:r>
              <w:rPr>
                <w:b w:val="false"/>
                <w:bCs w:val="false"/>
                <w:color w:val="222222"/>
                <w:sz w:val="19"/>
                <w:szCs w:val="19"/>
              </w:rPr>
              <w:t xml:space="preserve">May request ESG data as part of credit risk assessment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ESG consultants / auditors</w:t>
            </w:r>
          </w:p>
        </w:tc>
        <w:tc>
          <w:tcPr>
            <w:tcW w:type="dxa" w:w="0"/>
            <w:shd w:fill="FFFFFF" w:val="clear"/>
            <w:tcMar>
              <w:top w:type="dxa" w:w="80"/>
              <w:left w:type="dxa" w:w="100"/>
              <w:bottom w:type="dxa" w:w="80"/>
              <w:right w:type="dxa" w:w="100"/>
            </w:tcMar>
          </w:tcPr>
          <w:p>
            <w:r>
              <w:rPr>
                <w:b w:val="false"/>
                <w:bCs w:val="false"/>
                <w:color w:val="222222"/>
                <w:sz w:val="19"/>
                <w:szCs w:val="19"/>
              </w:rPr>
              <w:t xml:space="preserve">Potential channel partner or white-label customer</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Product owner (Sarvess)</w:t>
            </w:r>
          </w:p>
        </w:tc>
        <w:tc>
          <w:tcPr>
            <w:tcW w:type="dxa" w:w="0"/>
            <w:shd w:fill="FFFFFF" w:val="clear"/>
            <w:tcMar>
              <w:top w:type="dxa" w:w="80"/>
              <w:left w:type="dxa" w:w="100"/>
              <w:bottom w:type="dxa" w:w="80"/>
              <w:right w:type="dxa" w:w="100"/>
            </w:tcMar>
          </w:tcPr>
          <w:p>
            <w:r>
              <w:rPr>
                <w:b w:val="false"/>
                <w:bCs w:val="false"/>
                <w:color w:val="222222"/>
                <w:sz w:val="19"/>
                <w:szCs w:val="19"/>
              </w:rPr>
              <w:t xml:space="preserve">Defines roadmap, prioritises features, owns commercial outcomes</w:t>
            </w:r>
          </w:p>
        </w:tc>
      </w:tr>
    </w:tbl>
    <w:p>
      <w:pPr>
        <w:pStyle w:val="Heading1"/>
        <w:spacing w:after="200" w:before="400"/>
      </w:pPr>
      <w:r>
        <w:rPr>
          <w:b/>
          <w:bCs/>
          <w:color w:val="1F3A5F"/>
          <w:sz w:val="30"/>
          <w:szCs w:val="30"/>
        </w:rPr>
        <w:t xml:space="preserve">6. Scope and Plan Structure</w:t>
      </w:r>
    </w:p>
    <w:p>
      <w:pPr>
        <w:spacing w:after="160" w:line="276"/>
      </w:pPr>
      <w:r>
        <w:rPr>
          <w:color w:val="222222"/>
          <w:sz w:val="21"/>
          <w:szCs w:val="21"/>
        </w:rPr>
        <w:t xml:space="preserve">To reconcile a realistic solo-build roadmap with an honest read of what a third-party platform can add on top of Bursa's free, mandatory CSI channel, the platform is structured as a single product with three plans. Starter and Growth remain SME-focused disclosure tools. Issuer-Ready is repositioned around reporting operations rather than compliance or calculation.</w:t>
      </w:r>
    </w:p>
    <w:p>
      <w:pPr>
        <w:pStyle w:val="Heading3"/>
        <w:spacing w:after="100" w:before="200"/>
      </w:pPr>
      <w:r>
        <w:rPr>
          <w:b/>
          <w:bCs/>
          <w:color w:val="2E7D5B"/>
          <w:sz w:val="21"/>
          <w:szCs w:val="21"/>
        </w:rPr>
        <w:t xml:space="preserve">6.1 Plan 1 — SME Starter (SEDG-aligned)</w:t>
      </w:r>
    </w:p>
    <w:p>
      <w:pPr>
        <w:spacing w:after="160" w:line="276"/>
      </w:pPr>
      <w:r>
        <w:rPr>
          <w:color w:val="222222"/>
          <w:sz w:val="21"/>
          <w:szCs w:val="21"/>
        </w:rPr>
        <w:t xml:space="preserve">Target: SMEs in supply chains, voluntary disclosure, no Listing Requirement obligation.</w:t>
      </w:r>
    </w:p>
    <w:p>
      <w:pPr>
        <w:pStyle w:val="ListParagraph"/>
        <w:numPr>
          <w:ilvl w:val="0"/>
          <w:numId w:val="3"/>
        </w:numPr>
        <w:spacing w:after="80" w:line="270"/>
      </w:pPr>
      <w:r>
        <w:rPr>
          <w:color w:val="222222"/>
          <w:sz w:val="21"/>
          <w:szCs w:val="21"/>
        </w:rPr>
        <w:t xml:space="preserve">Guided materiality assessment and the SEDG Basic-tier disclosure set.</w:t>
      </w:r>
    </w:p>
    <w:p>
      <w:pPr>
        <w:pStyle w:val="ListParagraph"/>
        <w:numPr>
          <w:ilvl w:val="0"/>
          <w:numId w:val="3"/>
        </w:numPr>
        <w:spacing w:after="80" w:line="270"/>
      </w:pPr>
      <w:r>
        <w:rPr>
          <w:color w:val="222222"/>
          <w:sz w:val="21"/>
          <w:szCs w:val="21"/>
        </w:rPr>
        <w:t xml:space="preserve">Common sustainability matters data capture (single year to start).</w:t>
      </w:r>
    </w:p>
    <w:p>
      <w:pPr>
        <w:pStyle w:val="ListParagraph"/>
        <w:numPr>
          <w:ilvl w:val="0"/>
          <w:numId w:val="3"/>
        </w:numPr>
        <w:spacing w:after="80" w:line="270"/>
      </w:pPr>
      <w:r>
        <w:rPr>
          <w:color w:val="222222"/>
          <w:sz w:val="21"/>
          <w:szCs w:val="21"/>
        </w:rPr>
        <w:t xml:space="preserve">Exportable disclosure summary for buyer/bank requests.</w:t>
      </w:r>
    </w:p>
    <w:p>
      <w:pPr>
        <w:pStyle w:val="Heading3"/>
        <w:spacing w:after="100" w:before="200"/>
      </w:pPr>
      <w:r>
        <w:rPr>
          <w:b/>
          <w:bCs/>
          <w:color w:val="2E7D5B"/>
          <w:sz w:val="21"/>
          <w:szCs w:val="21"/>
        </w:rPr>
        <w:t xml:space="preserve">6.2 Plan 2 — SME Growth (Full SEDG + Common Matters)</w:t>
      </w:r>
    </w:p>
    <w:p>
      <w:pPr>
        <w:spacing w:after="160" w:line="276"/>
      </w:pPr>
      <w:r>
        <w:rPr>
          <w:color w:val="222222"/>
          <w:sz w:val="21"/>
          <w:szCs w:val="21"/>
        </w:rPr>
        <w:t xml:space="preserve">Target: SMEs with recurring buyer/bank ESG requests, working toward Intermediate/Advanced SEDG tiers.</w:t>
      </w:r>
    </w:p>
    <w:p>
      <w:pPr>
        <w:pStyle w:val="ListParagraph"/>
        <w:numPr>
          <w:ilvl w:val="0"/>
          <w:numId w:val="3"/>
        </w:numPr>
        <w:spacing w:after="80" w:line="270"/>
      </w:pPr>
      <w:r>
        <w:rPr>
          <w:color w:val="222222"/>
          <w:sz w:val="21"/>
          <w:szCs w:val="21"/>
        </w:rPr>
        <w:t xml:space="preserve">Full SEDG Intermediate and Advanced disclosure sets (35 disclosures).</w:t>
      </w:r>
    </w:p>
    <w:p>
      <w:pPr>
        <w:pStyle w:val="ListParagraph"/>
        <w:numPr>
          <w:ilvl w:val="0"/>
          <w:numId w:val="3"/>
        </w:numPr>
        <w:spacing w:after="80" w:line="270"/>
      </w:pPr>
      <w:r>
        <w:rPr>
          <w:color w:val="222222"/>
          <w:sz w:val="21"/>
          <w:szCs w:val="21"/>
        </w:rPr>
        <w:t xml:space="preserve">Multi-year data tracking (minimum 3 financial years) with target-vs-actual comparison.</w:t>
      </w:r>
    </w:p>
    <w:p>
      <w:pPr>
        <w:pStyle w:val="ListParagraph"/>
        <w:numPr>
          <w:ilvl w:val="0"/>
          <w:numId w:val="3"/>
        </w:numPr>
        <w:spacing w:after="80" w:line="270"/>
      </w:pPr>
      <w:r>
        <w:rPr>
          <w:color w:val="222222"/>
          <w:sz w:val="21"/>
          <w:szCs w:val="21"/>
        </w:rPr>
        <w:t xml:space="preserve">Governance structure documentation.</w:t>
      </w:r>
    </w:p>
    <w:p>
      <w:pPr>
        <w:pStyle w:val="ListParagraph"/>
        <w:numPr>
          <w:ilvl w:val="0"/>
          <w:numId w:val="3"/>
        </w:numPr>
        <w:spacing w:after="80" w:line="270"/>
      </w:pPr>
      <w:r>
        <w:rPr>
          <w:color w:val="222222"/>
          <w:sz w:val="21"/>
          <w:szCs w:val="21"/>
        </w:rPr>
        <w:t xml:space="preserve">One sector-specific SEDG module (pilot: Manufacturing), expandable to the other four SEDG sectors.</w:t>
      </w:r>
    </w:p>
    <w:p>
      <w:pPr>
        <w:pStyle w:val="Heading3"/>
        <w:spacing w:after="100" w:before="200"/>
      </w:pPr>
      <w:r>
        <w:rPr>
          <w:b/>
          <w:bCs/>
          <w:color w:val="2E7D5B"/>
          <w:sz w:val="21"/>
          <w:szCs w:val="21"/>
        </w:rPr>
        <w:t xml:space="preserve">6.3 Plan 3 — Issuer-Ready (Reporting Operations Layer)</w:t>
      </w:r>
    </w:p>
    <w:p>
      <w:pPr>
        <w:spacing w:after="160" w:line="276"/>
      </w:pPr>
      <w:r>
        <w:rPr>
          <w:color w:val="222222"/>
          <w:sz w:val="21"/>
          <w:szCs w:val="21"/>
        </w:rPr>
        <w:t xml:space="preserve">Target: Main Market and ACE Market listed issuers, and large non-listed companies in NSRF scope, who need to coordinate multi-department ESG data collection ahead of their team's manual CSI submission. This plan does not attempt to replace, calculate for, or duplicate CSI's free tools.</w:t>
      </w:r>
    </w:p>
    <w:p>
      <w:pPr>
        <w:pStyle w:val="ListParagraph"/>
        <w:numPr>
          <w:ilvl w:val="0"/>
          <w:numId w:val="3"/>
        </w:numPr>
        <w:spacing w:after="80" w:line="270"/>
      </w:pPr>
      <w:r>
        <w:rPr>
          <w:color w:val="222222"/>
          <w:sz w:val="21"/>
          <w:szCs w:val="21"/>
        </w:rPr>
        <w:t xml:space="preserve">Multi-department coordination workflow: assign each sustainability matter or indicator to a named departmental contributor (HR, EHS, finance, ops), track submission status per contributor, and send reminders — this is the core differentiator and the primary reason to buy.</w:t>
      </w:r>
    </w:p>
    <w:p>
      <w:pPr>
        <w:pStyle w:val="ListParagraph"/>
        <w:numPr>
          <w:ilvl w:val="0"/>
          <w:numId w:val="3"/>
        </w:numPr>
        <w:spacing w:after="80" w:line="270"/>
      </w:pPr>
      <w:r>
        <w:rPr>
          <w:color w:val="222222"/>
          <w:sz w:val="21"/>
          <w:szCs w:val="21"/>
        </w:rPr>
        <w:t xml:space="preserve">Monthly data collection with automatic annual aggregation, so no one department has to backfill a year of figures manually before the CSI entry session.</w:t>
      </w:r>
    </w:p>
    <w:p>
      <w:pPr>
        <w:pStyle w:val="ListParagraph"/>
        <w:numPr>
          <w:ilvl w:val="0"/>
          <w:numId w:val="3"/>
        </w:numPr>
        <w:spacing w:after="80" w:line="270"/>
      </w:pPr>
      <w:r>
        <w:rPr>
          <w:color w:val="222222"/>
          <w:sz w:val="21"/>
          <w:szCs w:val="21"/>
        </w:rPr>
        <w:t xml:space="preserve">Correct Common Sustainability Matters set applied by market (9 for Main Market, 11 for ACE Market) used purely as the internal data-collection checklist — not a compliance calculation engine.</w:t>
      </w:r>
    </w:p>
    <w:p>
      <w:pPr>
        <w:pStyle w:val="ListParagraph"/>
        <w:numPr>
          <w:ilvl w:val="0"/>
          <w:numId w:val="3"/>
        </w:numPr>
        <w:spacing w:after="80" w:line="270"/>
      </w:pPr>
      <w:r>
        <w:rPr>
          <w:color w:val="222222"/>
          <w:sz w:val="21"/>
          <w:szCs w:val="21"/>
        </w:rPr>
        <w:t xml:space="preserve">Materiality assessment and governance documentation — upstream work CSI does not provide tooling for at all.</w:t>
      </w:r>
    </w:p>
    <w:p>
      <w:pPr>
        <w:pStyle w:val="ListParagraph"/>
        <w:numPr>
          <w:ilvl w:val="0"/>
          <w:numId w:val="3"/>
        </w:numPr>
        <w:spacing w:after="80" w:line="270"/>
      </w:pPr>
      <w:r>
        <w:rPr>
          <w:color w:val="222222"/>
          <w:sz w:val="21"/>
          <w:szCs w:val="21"/>
        </w:rPr>
        <w:t xml:space="preserve">Structured internal audit trail (who entered what, when, source documents) so the person doing final CSI entry — and any external assurance provider — can see how each figure was built, not just trust a typed-in total.</w:t>
      </w:r>
    </w:p>
    <w:p>
      <w:pPr>
        <w:pStyle w:val="ListParagraph"/>
        <w:numPr>
          <w:ilvl w:val="0"/>
          <w:numId w:val="3"/>
        </w:numPr>
        <w:spacing w:after="80" w:line="270"/>
      </w:pPr>
      <w:r>
        <w:rPr>
          <w:color w:val="222222"/>
          <w:sz w:val="21"/>
          <w:szCs w:val="21"/>
        </w:rPr>
        <w:t xml:space="preserve">CSI-structure-matching export: a checklist-style output organised to match what CSI will ask for, to make the manual CSI entry session faster and less error-prone. Explicitly not a calculation tool and not a submission mechanism.</w:t>
      </w:r>
    </w:p>
    <w:p>
      <w:pPr>
        <w:pStyle w:val="Heading3"/>
        <w:spacing w:after="100" w:before="200"/>
      </w:pPr>
      <w:r>
        <w:rPr>
          <w:b/>
          <w:bCs/>
          <w:color w:val="2E7D5B"/>
          <w:sz w:val="21"/>
          <w:szCs w:val="21"/>
        </w:rPr>
        <w:t xml:space="preserve">6.4 Out of scope (all plans)</w:t>
      </w:r>
    </w:p>
    <w:p>
      <w:pPr>
        <w:pStyle w:val="ListParagraph"/>
        <w:numPr>
          <w:ilvl w:val="0"/>
          <w:numId w:val="3"/>
        </w:numPr>
        <w:spacing w:after="80" w:line="270"/>
      </w:pPr>
      <w:r>
        <w:rPr>
          <w:color w:val="222222"/>
          <w:sz w:val="21"/>
          <w:szCs w:val="21"/>
        </w:rPr>
        <w:t xml:space="preserve">Any GHG emissions calculator or Scope 3 estimation logic — CSI already provides this free via its own Scope 1/2 calculator and FairSupply-based Scope 3 estimation; duplicating it adds no value and creates a support/liability burden with no upside.</w:t>
      </w:r>
    </w:p>
    <w:p>
      <w:pPr>
        <w:pStyle w:val="ListParagraph"/>
        <w:numPr>
          <w:ilvl w:val="0"/>
          <w:numId w:val="3"/>
        </w:numPr>
        <w:spacing w:after="80" w:line="270"/>
      </w:pPr>
      <w:r>
        <w:rPr>
          <w:color w:val="222222"/>
          <w:sz w:val="21"/>
          <w:szCs w:val="21"/>
        </w:rPr>
        <w:t xml:space="preserve">Direct API integration with Bursa's CSI platform — no public integration channel exists outside the official Value-Added Services partner program, which is a possible future path, not a Phase 1 assumption.</w:t>
      </w:r>
    </w:p>
    <w:p>
      <w:pPr>
        <w:pStyle w:val="ListParagraph"/>
        <w:numPr>
          <w:ilvl w:val="0"/>
          <w:numId w:val="3"/>
        </w:numPr>
        <w:spacing w:after="80" w:line="270"/>
      </w:pPr>
      <w:r>
        <w:rPr>
          <w:color w:val="222222"/>
          <w:sz w:val="21"/>
          <w:szCs w:val="21"/>
        </w:rPr>
        <w:t xml:space="preserve">Multi-entity consolidation for corporate groups — later phase within the Issuer-Ready plan.</w:t>
      </w:r>
    </w:p>
    <w:p>
      <w:pPr>
        <w:pStyle w:val="ListParagraph"/>
        <w:numPr>
          <w:ilvl w:val="0"/>
          <w:numId w:val="3"/>
        </w:numPr>
        <w:spacing w:after="80" w:line="270"/>
      </w:pPr>
      <w:r>
        <w:rPr>
          <w:color w:val="222222"/>
          <w:sz w:val="21"/>
          <w:szCs w:val="21"/>
        </w:rPr>
        <w:t xml:space="preserve">XBRL or other regulator-specific data tagging.</w:t>
      </w:r>
    </w:p>
    <w:p>
      <w:pPr>
        <w:pStyle w:val="ListParagraph"/>
        <w:numPr>
          <w:ilvl w:val="0"/>
          <w:numId w:val="3"/>
        </w:numPr>
        <w:spacing w:after="80" w:line="270"/>
      </w:pPr>
      <w:r>
        <w:rPr>
          <w:color w:val="222222"/>
          <w:sz w:val="21"/>
          <w:szCs w:val="21"/>
        </w:rPr>
        <w:t xml:space="preserve">Formal third-party assurance itself — the platform prepares assurance-ready documentation but does not replace a licensed assurance provider.</w:t>
      </w:r>
    </w:p>
    <w:p>
      <w:pPr>
        <w:pStyle w:val="Heading1"/>
        <w:spacing w:after="200" w:before="400"/>
      </w:pPr>
      <w:r>
        <w:rPr>
          <w:b/>
          <w:bCs/>
          <w:color w:val="1F3A5F"/>
          <w:sz w:val="30"/>
          <w:szCs w:val="30"/>
        </w:rPr>
        <w:t xml:space="preserve">7. Business Requirements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5300"/>
        <w:gridCol w:w="1700"/>
        <w:gridCol w:w="14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ID</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c>
          <w:tcPr>
            <w:tcW w:type="dxa" w:w="0"/>
            <w:shd w:fill="1F3A5F" w:val="clear"/>
            <w:tcMar>
              <w:top w:type="dxa" w:w="80"/>
              <w:left w:type="dxa" w:w="100"/>
              <w:bottom w:type="dxa" w:w="80"/>
              <w:right w:type="dxa" w:w="100"/>
            </w:tcMar>
          </w:tcPr>
          <w:p>
            <w:r>
              <w:rPr>
                <w:b/>
                <w:bCs/>
                <w:color w:val="FFFFFF"/>
                <w:sz w:val="19"/>
                <w:szCs w:val="19"/>
              </w:rPr>
              <w:t xml:space="preserve">Plan(s)</w:t>
            </w:r>
          </w:p>
        </w:tc>
        <w:tc>
          <w:tcPr>
            <w:tcW w:type="dxa" w:w="0"/>
            <w:shd w:fill="1F3A5F" w:val="clear"/>
            <w:tcMar>
              <w:top w:type="dxa" w:w="80"/>
              <w:left w:type="dxa" w:w="100"/>
              <w:bottom w:type="dxa" w:w="80"/>
              <w:right w:type="dxa" w:w="100"/>
            </w:tcMar>
          </w:tcPr>
          <w:p>
            <w:r>
              <w:rPr>
                <w:b/>
                <w:bCs/>
                <w:color w:val="FFFFFF"/>
                <w:sz w:val="19"/>
                <w:szCs w:val="19"/>
              </w:rPr>
              <w:t xml:space="preserve">Priority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BR-01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platform must let a company record disclosures against the correct Common Sustainability Matters set for its profile: SEDG's 35 disclosures for SMEs, 9 matters for Main Market issuers, 11 for ACE Market issuers.</w:t>
            </w:r>
          </w:p>
        </w:tc>
        <w:tc>
          <w:tcPr>
            <w:tcW w:type="dxa" w:w="0"/>
            <w:shd w:fill="FFFFFF" w:val="clear"/>
            <w:tcMar>
              <w:top w:type="dxa" w:w="80"/>
              <w:left w:type="dxa" w:w="100"/>
              <w:bottom w:type="dxa" w:w="80"/>
              <w:right w:type="dxa" w:w="100"/>
            </w:tcMar>
          </w:tcPr>
          <w:p>
            <w:r>
              <w:rPr>
                <w:b w:val="false"/>
                <w:bCs w:val="false"/>
                <w:color w:val="222222"/>
                <w:sz w:val="19"/>
                <w:szCs w:val="19"/>
              </w:rPr>
              <w:t xml:space="preserve">All</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BR-02</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platform must support a guided materiality assessment so companies can identify and prioritise matters without external consulting.</w:t>
            </w:r>
          </w:p>
        </w:tc>
        <w:tc>
          <w:tcPr>
            <w:tcW w:type="dxa" w:w="0"/>
            <w:shd w:fill="FFFFFF" w:val="clear"/>
            <w:tcMar>
              <w:top w:type="dxa" w:w="80"/>
              <w:left w:type="dxa" w:w="100"/>
              <w:bottom w:type="dxa" w:w="80"/>
              <w:right w:type="dxa" w:w="100"/>
            </w:tcMar>
          </w:tcPr>
          <w:p>
            <w:r>
              <w:rPr>
                <w:b w:val="false"/>
                <w:bCs w:val="false"/>
                <w:color w:val="222222"/>
                <w:sz w:val="19"/>
                <w:szCs w:val="19"/>
              </w:rPr>
              <w:t xml:space="preserve">All</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BR-03</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platform must allow monthly data entry with automatic annual aggregation, so no user manually totals figures before reporting.</w:t>
            </w:r>
          </w:p>
        </w:tc>
        <w:tc>
          <w:tcPr>
            <w:tcW w:type="dxa" w:w="0"/>
            <w:shd w:fill="FFFFFF" w:val="clear"/>
            <w:tcMar>
              <w:top w:type="dxa" w:w="80"/>
              <w:left w:type="dxa" w:w="100"/>
              <w:bottom w:type="dxa" w:w="80"/>
              <w:right w:type="dxa" w:w="100"/>
            </w:tcMar>
          </w:tcPr>
          <w:p>
            <w:r>
              <w:rPr>
                <w:b w:val="false"/>
                <w:bCs w:val="false"/>
                <w:color w:val="222222"/>
                <w:sz w:val="19"/>
                <w:szCs w:val="19"/>
              </w:rPr>
              <w:t xml:space="preserve">All (Growth/Issuer-Ready primary)</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BR-04</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platform must offer three plans (Starter, Growth, Issuer-Ready), each fully featured for its target company profile rather than an artificially limited version of the next.</w:t>
            </w:r>
          </w:p>
        </w:tc>
        <w:tc>
          <w:tcPr>
            <w:tcW w:type="dxa" w:w="0"/>
            <w:shd w:fill="FFFFFF" w:val="clear"/>
            <w:tcMar>
              <w:top w:type="dxa" w:w="80"/>
              <w:left w:type="dxa" w:w="100"/>
              <w:bottom w:type="dxa" w:w="80"/>
              <w:right w:type="dxa" w:w="100"/>
            </w:tcMar>
          </w:tcPr>
          <w:p>
            <w:r>
              <w:rPr>
                <w:b w:val="false"/>
                <w:bCs w:val="false"/>
                <w:color w:val="222222"/>
                <w:sz w:val="19"/>
                <w:szCs w:val="19"/>
              </w:rPr>
              <w:t xml:space="preserve">All</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BR-05</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platform must produce an exportable disclosure summary suitable for buyer, bank, or auditor requests, and, for Issuer-Ready, a checklist-style export matching CSI's data structure.</w:t>
            </w:r>
          </w:p>
        </w:tc>
        <w:tc>
          <w:tcPr>
            <w:tcW w:type="dxa" w:w="0"/>
            <w:shd w:fill="FFFFFF" w:val="clear"/>
            <w:tcMar>
              <w:top w:type="dxa" w:w="80"/>
              <w:left w:type="dxa" w:w="100"/>
              <w:bottom w:type="dxa" w:w="80"/>
              <w:right w:type="dxa" w:w="100"/>
            </w:tcMar>
          </w:tcPr>
          <w:p>
            <w:r>
              <w:rPr>
                <w:b w:val="false"/>
                <w:bCs w:val="false"/>
                <w:color w:val="222222"/>
                <w:sz w:val="19"/>
                <w:szCs w:val="19"/>
              </w:rPr>
              <w:t xml:space="preserve">All</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BR-06</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platform must document company governance structure for sustainability oversight and accountability.</w:t>
            </w:r>
          </w:p>
        </w:tc>
        <w:tc>
          <w:tcPr>
            <w:tcW w:type="dxa" w:w="0"/>
            <w:shd w:fill="FFFFFF" w:val="clear"/>
            <w:tcMar>
              <w:top w:type="dxa" w:w="80"/>
              <w:left w:type="dxa" w:w="100"/>
              <w:bottom w:type="dxa" w:w="80"/>
              <w:right w:type="dxa" w:w="100"/>
            </w:tcMar>
          </w:tcPr>
          <w:p>
            <w:r>
              <w:rPr>
                <w:b w:val="false"/>
                <w:bCs w:val="false"/>
                <w:color w:val="222222"/>
                <w:sz w:val="19"/>
                <w:szCs w:val="19"/>
              </w:rPr>
              <w:t xml:space="preserve">Growth, Issuer-Ready</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BR-07</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Issuer-Ready plan must support a multi-department coordination workflow: assign matters/indicators to named contributors, track per-contributor submission status, and send reminders. This is the plan's primary value driver.</w:t>
            </w:r>
          </w:p>
        </w:tc>
        <w:tc>
          <w:tcPr>
            <w:tcW w:type="dxa" w:w="0"/>
            <w:shd w:fill="FFFFFF" w:val="clear"/>
            <w:tcMar>
              <w:top w:type="dxa" w:w="80"/>
              <w:left w:type="dxa" w:w="100"/>
              <w:bottom w:type="dxa" w:w="80"/>
              <w:right w:type="dxa" w:w="100"/>
            </w:tcMar>
          </w:tcPr>
          <w:p>
            <w:r>
              <w:rPr>
                <w:b w:val="false"/>
                <w:bCs w:val="false"/>
                <w:color w:val="222222"/>
                <w:sz w:val="19"/>
                <w:szCs w:val="19"/>
              </w:rPr>
              <w:t xml:space="preserve">Issuer-Ready</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BR-08</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Issuer-Ready plan must not include any GHG emissions calculation or estimation logic — it collects and organises data supplied by the company, and defers all calculation to CSI's free tools.</w:t>
            </w:r>
          </w:p>
        </w:tc>
        <w:tc>
          <w:tcPr>
            <w:tcW w:type="dxa" w:w="0"/>
            <w:shd w:fill="FFFFFF" w:val="clear"/>
            <w:tcMar>
              <w:top w:type="dxa" w:w="80"/>
              <w:left w:type="dxa" w:w="100"/>
              <w:bottom w:type="dxa" w:w="80"/>
              <w:right w:type="dxa" w:w="100"/>
            </w:tcMar>
          </w:tcPr>
          <w:p>
            <w:r>
              <w:rPr>
                <w:b w:val="false"/>
                <w:bCs w:val="false"/>
                <w:color w:val="222222"/>
                <w:sz w:val="19"/>
                <w:szCs w:val="19"/>
              </w:rPr>
              <w:t xml:space="preserve">Issuer-Ready</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 (constraint)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BR-09</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platform must provide an audit trail of data entry (who, when, source) to support future assurance requirements.</w:t>
            </w:r>
          </w:p>
        </w:tc>
        <w:tc>
          <w:tcPr>
            <w:tcW w:type="dxa" w:w="0"/>
            <w:shd w:fill="FFFFFF" w:val="clear"/>
            <w:tcMar>
              <w:top w:type="dxa" w:w="80"/>
              <w:left w:type="dxa" w:w="100"/>
              <w:bottom w:type="dxa" w:w="80"/>
              <w:right w:type="dxa" w:w="100"/>
            </w:tcMar>
          </w:tcPr>
          <w:p>
            <w:r>
              <w:rPr>
                <w:b w:val="false"/>
                <w:bCs w:val="false"/>
                <w:color w:val="222222"/>
                <w:sz w:val="19"/>
                <w:szCs w:val="19"/>
              </w:rPr>
              <w:t xml:space="preserve">Growth, Issuer-Ready</w:t>
            </w:r>
          </w:p>
        </w:tc>
        <w:tc>
          <w:tcPr>
            <w:tcW w:type="dxa" w:w="0"/>
            <w:shd w:fill="FFFFFF" w:val="clear"/>
            <w:tcMar>
              <w:top w:type="dxa" w:w="80"/>
              <w:left w:type="dxa" w:w="100"/>
              <w:bottom w:type="dxa" w:w="80"/>
              <w:right w:type="dxa" w:w="100"/>
            </w:tcMar>
          </w:tcPr>
          <w:p>
            <w:r>
              <w:rPr>
                <w:b w:val="false"/>
                <w:bCs w:val="false"/>
                <w:color w:val="222222"/>
                <w:sz w:val="19"/>
                <w:szCs w:val="19"/>
              </w:rPr>
              <w:t xml:space="preserve">Should</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BR-10</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platform should support sector-specific indicator modules, starting with one SEDG pilot sector and expanding to full Bursa sector coverage on Issuer-Ready.</w:t>
            </w:r>
          </w:p>
        </w:tc>
        <w:tc>
          <w:tcPr>
            <w:tcW w:type="dxa" w:w="0"/>
            <w:shd w:fill="FFFFFF" w:val="clear"/>
            <w:tcMar>
              <w:top w:type="dxa" w:w="80"/>
              <w:left w:type="dxa" w:w="100"/>
              <w:bottom w:type="dxa" w:w="80"/>
              <w:right w:type="dxa" w:w="100"/>
            </w:tcMar>
          </w:tcPr>
          <w:p>
            <w:r>
              <w:rPr>
                <w:b w:val="false"/>
                <w:bCs w:val="false"/>
                <w:color w:val="222222"/>
                <w:sz w:val="19"/>
                <w:szCs w:val="19"/>
              </w:rPr>
              <w:t xml:space="preserve">Growth, Issuer-Ready</w:t>
            </w:r>
          </w:p>
        </w:tc>
        <w:tc>
          <w:tcPr>
            <w:tcW w:type="dxa" w:w="0"/>
            <w:shd w:fill="FFFFFF" w:val="clear"/>
            <w:tcMar>
              <w:top w:type="dxa" w:w="80"/>
              <w:left w:type="dxa" w:w="100"/>
              <w:bottom w:type="dxa" w:w="80"/>
              <w:right w:type="dxa" w:w="100"/>
            </w:tcMar>
          </w:tcPr>
          <w:p>
            <w:r>
              <w:rPr>
                <w:b w:val="false"/>
                <w:bCs w:val="false"/>
                <w:color w:val="222222"/>
                <w:sz w:val="19"/>
                <w:szCs w:val="19"/>
              </w:rPr>
              <w:t xml:space="preserve">Should</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BR-11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platform could support a consultant/auditor multi-client view for channel partners.</w:t>
            </w:r>
          </w:p>
        </w:tc>
        <w:tc>
          <w:tcPr>
            <w:tcW w:type="dxa" w:w="0"/>
            <w:shd w:fill="FFFFFF" w:val="clear"/>
            <w:tcMar>
              <w:top w:type="dxa" w:w="80"/>
              <w:left w:type="dxa" w:w="100"/>
              <w:bottom w:type="dxa" w:w="80"/>
              <w:right w:type="dxa" w:w="100"/>
            </w:tcMar>
          </w:tcPr>
          <w:p>
            <w:r>
              <w:rPr>
                <w:b w:val="false"/>
                <w:bCs w:val="false"/>
                <w:color w:val="222222"/>
                <w:sz w:val="19"/>
                <w:szCs w:val="19"/>
              </w:rPr>
              <w:t xml:space="preserve">All (add-on)</w:t>
            </w:r>
          </w:p>
        </w:tc>
        <w:tc>
          <w:tcPr>
            <w:tcW w:type="dxa" w:w="0"/>
            <w:shd w:fill="FFFFFF" w:val="clear"/>
            <w:tcMar>
              <w:top w:type="dxa" w:w="80"/>
              <w:left w:type="dxa" w:w="100"/>
              <w:bottom w:type="dxa" w:w="80"/>
              <w:right w:type="dxa" w:w="100"/>
            </w:tcMar>
          </w:tcPr>
          <w:p>
            <w:r>
              <w:rPr>
                <w:b w:val="false"/>
                <w:bCs w:val="false"/>
                <w:color w:val="222222"/>
                <w:sz w:val="19"/>
                <w:szCs w:val="19"/>
              </w:rPr>
              <w:t xml:space="preserve">Could</w:t>
            </w:r>
          </w:p>
        </w:tc>
      </w:tr>
    </w:tbl>
    <w:p>
      <w:pPr>
        <w:pStyle w:val="Heading1"/>
        <w:spacing w:after="200" w:before="400"/>
      </w:pPr>
      <w:r>
        <w:rPr>
          <w:b/>
          <w:bCs/>
          <w:color w:val="1F3A5F"/>
          <w:sz w:val="30"/>
          <w:szCs w:val="30"/>
        </w:rPr>
        <w:t xml:space="preserve">8. Assumptions</w:t>
      </w:r>
    </w:p>
    <w:p>
      <w:pPr>
        <w:pStyle w:val="ListParagraph"/>
        <w:numPr>
          <w:ilvl w:val="0"/>
          <w:numId w:val="3"/>
        </w:numPr>
        <w:spacing w:after="80" w:line="270"/>
      </w:pPr>
      <w:r>
        <w:rPr>
          <w:color w:val="222222"/>
          <w:sz w:val="21"/>
          <w:szCs w:val="21"/>
        </w:rPr>
        <w:t xml:space="preserve">SMEs will be more willing to pay for a low-cost guided tool than to hire a consultant for full ESG advisory.</w:t>
      </w:r>
    </w:p>
    <w:p>
      <w:pPr>
        <w:pStyle w:val="ListParagraph"/>
        <w:numPr>
          <w:ilvl w:val="0"/>
          <w:numId w:val="3"/>
        </w:numPr>
        <w:spacing w:after="80" w:line="270"/>
      </w:pPr>
      <w:r>
        <w:rPr>
          <w:color w:val="222222"/>
          <w:sz w:val="21"/>
          <w:szCs w:val="21"/>
        </w:rPr>
        <w:t xml:space="preserve">SEDG remains the dominant SME-facing framework in Malaysia through the product's early years and does not get superseded by a materially different structure.</w:t>
      </w:r>
    </w:p>
    <w:p>
      <w:pPr>
        <w:pStyle w:val="ListParagraph"/>
        <w:numPr>
          <w:ilvl w:val="0"/>
          <w:numId w:val="3"/>
        </w:numPr>
        <w:spacing w:after="80" w:line="270"/>
      </w:pPr>
      <w:r>
        <w:rPr>
          <w:color w:val="222222"/>
          <w:sz w:val="21"/>
          <w:szCs w:val="21"/>
        </w:rPr>
        <w:t xml:space="preserve">Issuers experience real internal coordination pain (multiple departments, no shared system) that is independent of, and not solved by, CSI itself — this should be validated directly with a design-partner issuer before Issuer-Ready development begins.</w:t>
      </w:r>
    </w:p>
    <w:p>
      <w:pPr>
        <w:pStyle w:val="ListParagraph"/>
        <w:numPr>
          <w:ilvl w:val="0"/>
          <w:numId w:val="3"/>
        </w:numPr>
        <w:spacing w:after="80" w:line="270"/>
      </w:pPr>
      <w:r>
        <w:rPr>
          <w:color w:val="222222"/>
          <w:sz w:val="21"/>
          <w:szCs w:val="21"/>
        </w:rPr>
        <w:t xml:space="preserve">Initial customer acquisition will rely on direct outreach and possibly partnerships with SME associations or banks, not paid marketing at scale.</w:t>
      </w:r>
    </w:p>
    <w:p>
      <w:pPr>
        <w:pStyle w:val="ListParagraph"/>
        <w:numPr>
          <w:ilvl w:val="0"/>
          <w:numId w:val="3"/>
        </w:numPr>
        <w:spacing w:after="80" w:line="270"/>
      </w:pPr>
      <w:r>
        <w:rPr>
          <w:color w:val="222222"/>
          <w:sz w:val="21"/>
          <w:szCs w:val="21"/>
        </w:rPr>
        <w:t xml:space="preserve">The founder will operate solo, part-time, through at least the MVP and early validation phase.</w:t>
      </w:r>
    </w:p>
    <w:p>
      <w:pPr>
        <w:pStyle w:val="Heading1"/>
        <w:spacing w:after="200" w:before="400"/>
      </w:pPr>
      <w:r>
        <w:rPr>
          <w:b/>
          <w:bCs/>
          <w:color w:val="1F3A5F"/>
          <w:sz w:val="30"/>
          <w:szCs w:val="30"/>
        </w:rPr>
        <w:t xml:space="preserve">9. Constraints</w:t>
      </w:r>
    </w:p>
    <w:p>
      <w:pPr>
        <w:pStyle w:val="ListParagraph"/>
        <w:numPr>
          <w:ilvl w:val="0"/>
          <w:numId w:val="3"/>
        </w:numPr>
        <w:spacing w:after="80" w:line="270"/>
      </w:pPr>
      <w:r>
        <w:rPr>
          <w:color w:val="222222"/>
          <w:sz w:val="21"/>
          <w:szCs w:val="21"/>
        </w:rPr>
        <w:t xml:space="preserve">Solo, nights-and-weekends development capacity limits the pace of feature delivery and customer support responsiveness.</w:t>
      </w:r>
    </w:p>
    <w:p>
      <w:pPr>
        <w:pStyle w:val="ListParagraph"/>
        <w:numPr>
          <w:ilvl w:val="0"/>
          <w:numId w:val="3"/>
        </w:numPr>
        <w:spacing w:after="80" w:line="270"/>
      </w:pPr>
      <w:r>
        <w:rPr>
          <w:color w:val="222222"/>
          <w:sz w:val="21"/>
          <w:szCs w:val="21"/>
        </w:rPr>
        <w:t xml:space="preserve">No existing brand recognition or distribution channel in the ESG/sustainability space.</w:t>
      </w:r>
    </w:p>
    <w:p>
      <w:pPr>
        <w:pStyle w:val="ListParagraph"/>
        <w:numPr>
          <w:ilvl w:val="0"/>
          <w:numId w:val="3"/>
        </w:numPr>
        <w:spacing w:after="80" w:line="270"/>
      </w:pPr>
      <w:r>
        <w:rPr>
          <w:color w:val="222222"/>
          <w:sz w:val="21"/>
          <w:szCs w:val="21"/>
        </w:rPr>
        <w:t xml:space="preserve">Regulatory frameworks (NSRF, SEDG, CSI) are still evolving and CSI's own feature set is actively expanding (e.g. the December 2025 enhanced prescribed format) — the product must be built to avoid duplicating whatever CSI adds next, which means re-checking CSI's feature set periodically, not just at initial build.</w:t>
      </w:r>
    </w:p>
    <w:p>
      <w:pPr>
        <w:pStyle w:val="ListParagraph"/>
        <w:numPr>
          <w:ilvl w:val="0"/>
          <w:numId w:val="3"/>
        </w:numPr>
        <w:spacing w:after="80" w:line="270"/>
      </w:pPr>
      <w:r>
        <w:rPr>
          <w:color w:val="222222"/>
          <w:sz w:val="21"/>
          <w:szCs w:val="21"/>
        </w:rPr>
        <w:t xml:space="preserve">Budget for compliance/legal review of disclosure outputs is limited in early phases.</w:t>
      </w:r>
    </w:p>
    <w:p>
      <w:pPr>
        <w:pStyle w:val="Heading1"/>
        <w:spacing w:after="200" w:before="400"/>
      </w:pPr>
      <w:r>
        <w:rPr>
          <w:b/>
          <w:bCs/>
          <w:color w:val="1F3A5F"/>
          <w:sz w:val="30"/>
          <w:szCs w:val="30"/>
        </w:rPr>
        <w:t xml:space="preserve">10. Risks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39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Risk</w:t>
            </w:r>
          </w:p>
        </w:tc>
        <w:tc>
          <w:tcPr>
            <w:tcW w:type="dxa" w:w="0"/>
            <w:shd w:fill="1F3A5F" w:val="clear"/>
            <w:tcMar>
              <w:top w:type="dxa" w:w="80"/>
              <w:left w:type="dxa" w:w="100"/>
              <w:bottom w:type="dxa" w:w="80"/>
              <w:right w:type="dxa" w:w="100"/>
            </w:tcMar>
          </w:tcPr>
          <w:p>
            <w:r>
              <w:rPr>
                <w:b/>
                <w:bCs/>
                <w:color w:val="FFFFFF"/>
                <w:sz w:val="19"/>
                <w:szCs w:val="19"/>
              </w:rPr>
              <w:t xml:space="preserve">Impact</w:t>
            </w:r>
          </w:p>
        </w:tc>
        <w:tc>
          <w:tcPr>
            <w:tcW w:type="dxa" w:w="0"/>
            <w:shd w:fill="1F3A5F" w:val="clear"/>
            <w:tcMar>
              <w:top w:type="dxa" w:w="80"/>
              <w:left w:type="dxa" w:w="100"/>
              <w:bottom w:type="dxa" w:w="80"/>
              <w:right w:type="dxa" w:w="100"/>
            </w:tcMar>
          </w:tcPr>
          <w:p>
            <w:r>
              <w:rPr>
                <w:b/>
                <w:bCs/>
                <w:color w:val="FFFFFF"/>
                <w:sz w:val="19"/>
                <w:szCs w:val="19"/>
              </w:rPr>
              <w:t xml:space="preserve">Mitigation</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Low SME willingness to pay before disclosure becomes mandatory for them</w:t>
            </w:r>
          </w:p>
        </w:tc>
        <w:tc>
          <w:tcPr>
            <w:tcW w:type="dxa" w:w="0"/>
            <w:shd w:fill="FFFFFF" w:val="clear"/>
            <w:tcMar>
              <w:top w:type="dxa" w:w="80"/>
              <w:left w:type="dxa" w:w="100"/>
              <w:bottom w:type="dxa" w:w="80"/>
              <w:right w:type="dxa" w:w="100"/>
            </w:tcMar>
          </w:tcPr>
          <w:p>
            <w:r>
              <w:rPr>
                <w:b w:val="false"/>
                <w:bCs w:val="false"/>
                <w:color w:val="222222"/>
                <w:sz w:val="19"/>
                <w:szCs w:val="19"/>
              </w:rPr>
              <w:t xml:space="preserve">High</w:t>
            </w:r>
          </w:p>
        </w:tc>
        <w:tc>
          <w:tcPr>
            <w:tcW w:type="dxa" w:w="0"/>
            <w:shd w:fill="FFFFFF" w:val="clear"/>
            <w:tcMar>
              <w:top w:type="dxa" w:w="80"/>
              <w:left w:type="dxa" w:w="100"/>
              <w:bottom w:type="dxa" w:w="80"/>
              <w:right w:type="dxa" w:w="100"/>
            </w:tcMar>
          </w:tcPr>
          <w:p>
            <w:r>
              <w:rPr>
                <w:b w:val="false"/>
                <w:bCs w:val="false"/>
                <w:color w:val="222222"/>
                <w:sz w:val="19"/>
                <w:szCs w:val="19"/>
              </w:rPr>
              <w:t xml:space="preserve">Price low at Basic tier; lead with free materiality assessment as an acquisition hook</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Issuer-Ready value proposition erodes further as CSI adds more free features (it already added an enhanced format and calculators in 2025)</w:t>
            </w:r>
          </w:p>
        </w:tc>
        <w:tc>
          <w:tcPr>
            <w:tcW w:type="dxa" w:w="0"/>
            <w:shd w:fill="FFFFFF" w:val="clear"/>
            <w:tcMar>
              <w:top w:type="dxa" w:w="80"/>
              <w:left w:type="dxa" w:w="100"/>
              <w:bottom w:type="dxa" w:w="80"/>
              <w:right w:type="dxa" w:w="100"/>
            </w:tcMar>
          </w:tcPr>
          <w:p>
            <w:r>
              <w:rPr>
                <w:b w:val="false"/>
                <w:bCs w:val="false"/>
                <w:color w:val="222222"/>
                <w:sz w:val="19"/>
                <w:szCs w:val="19"/>
              </w:rPr>
              <w:t xml:space="preserve">High</w:t>
            </w:r>
          </w:p>
        </w:tc>
        <w:tc>
          <w:tcPr>
            <w:tcW w:type="dxa" w:w="0"/>
            <w:shd w:fill="FFFFFF" w:val="clear"/>
            <w:tcMar>
              <w:top w:type="dxa" w:w="80"/>
              <w:left w:type="dxa" w:w="100"/>
              <w:bottom w:type="dxa" w:w="80"/>
              <w:right w:type="dxa" w:w="100"/>
            </w:tcMar>
          </w:tcPr>
          <w:p>
            <w:r>
              <w:rPr>
                <w:b w:val="false"/>
                <w:bCs w:val="false"/>
                <w:color w:val="222222"/>
                <w:sz w:val="19"/>
                <w:szCs w:val="19"/>
              </w:rPr>
              <w:t xml:space="preserve">Validate the coordination-workflow value prop directly with a design-partner issuer before building; do not build features that risk direct CSI overlap (e.g. calculators)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Regulatory framework changes (SEDG v3, NSRF amendments)</w:t>
            </w:r>
          </w:p>
        </w:tc>
        <w:tc>
          <w:tcPr>
            <w:tcW w:type="dxa" w:w="0"/>
            <w:shd w:fill="FFFFFF" w:val="clear"/>
            <w:tcMar>
              <w:top w:type="dxa" w:w="80"/>
              <w:left w:type="dxa" w:w="100"/>
              <w:bottom w:type="dxa" w:w="80"/>
              <w:right w:type="dxa" w:w="100"/>
            </w:tcMar>
          </w:tcPr>
          <w:p>
            <w:r>
              <w:rPr>
                <w:b w:val="false"/>
                <w:bCs w:val="false"/>
                <w:color w:val="222222"/>
                <w:sz w:val="19"/>
                <w:szCs w:val="19"/>
              </w:rPr>
              <w:t xml:space="preserve">Medium</w:t>
            </w:r>
          </w:p>
        </w:tc>
        <w:tc>
          <w:tcPr>
            <w:tcW w:type="dxa" w:w="0"/>
            <w:shd w:fill="FFFFFF" w:val="clear"/>
            <w:tcMar>
              <w:top w:type="dxa" w:w="80"/>
              <w:left w:type="dxa" w:w="100"/>
              <w:bottom w:type="dxa" w:w="80"/>
              <w:right w:type="dxa" w:w="100"/>
            </w:tcMar>
          </w:tcPr>
          <w:p>
            <w:r>
              <w:rPr>
                <w:b w:val="false"/>
                <w:bCs w:val="false"/>
                <w:color w:val="222222"/>
                <w:sz w:val="19"/>
                <w:szCs w:val="19"/>
              </w:rPr>
              <w:t xml:space="preserve">Design indicator schema as configurable data, not hard-coded logic</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Solo founder bandwidth vs. support/sales demands</w:t>
            </w:r>
          </w:p>
        </w:tc>
        <w:tc>
          <w:tcPr>
            <w:tcW w:type="dxa" w:w="0"/>
            <w:shd w:fill="FFFFFF" w:val="clear"/>
            <w:tcMar>
              <w:top w:type="dxa" w:w="80"/>
              <w:left w:type="dxa" w:w="100"/>
              <w:bottom w:type="dxa" w:w="80"/>
              <w:right w:type="dxa" w:w="100"/>
            </w:tcMar>
          </w:tcPr>
          <w:p>
            <w:r>
              <w:rPr>
                <w:b w:val="false"/>
                <w:bCs w:val="false"/>
                <w:color w:val="222222"/>
                <w:sz w:val="19"/>
                <w:szCs w:val="19"/>
              </w:rPr>
              <w:t xml:space="preserve">High</w:t>
            </w:r>
          </w:p>
        </w:tc>
        <w:tc>
          <w:tcPr>
            <w:tcW w:type="dxa" w:w="0"/>
            <w:shd w:fill="FFFFFF" w:val="clear"/>
            <w:tcMar>
              <w:top w:type="dxa" w:w="80"/>
              <w:left w:type="dxa" w:w="100"/>
              <w:bottom w:type="dxa" w:w="80"/>
              <w:right w:type="dxa" w:w="100"/>
            </w:tcMar>
          </w:tcPr>
          <w:p>
            <w:r>
              <w:rPr>
                <w:b w:val="false"/>
                <w:bCs w:val="false"/>
                <w:color w:val="222222"/>
                <w:sz w:val="19"/>
                <w:szCs w:val="19"/>
              </w:rPr>
              <w:t xml:space="preserve">Cap early customer count intentionally; automate onboarding before scaling outreach</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Repeat of prior pivot pattern (SimpliESG precedent)</w:t>
            </w:r>
          </w:p>
        </w:tc>
        <w:tc>
          <w:tcPr>
            <w:tcW w:type="dxa" w:w="0"/>
            <w:shd w:fill="FFFFFF" w:val="clear"/>
            <w:tcMar>
              <w:top w:type="dxa" w:w="80"/>
              <w:left w:type="dxa" w:w="100"/>
              <w:bottom w:type="dxa" w:w="80"/>
              <w:right w:type="dxa" w:w="100"/>
            </w:tcMar>
          </w:tcPr>
          <w:p>
            <w:r>
              <w:rPr>
                <w:b w:val="false"/>
                <w:bCs w:val="false"/>
                <w:color w:val="222222"/>
                <w:sz w:val="19"/>
                <w:szCs w:val="19"/>
              </w:rPr>
              <w:t xml:space="preserve">Medium</w:t>
            </w:r>
          </w:p>
        </w:tc>
        <w:tc>
          <w:tcPr>
            <w:tcW w:type="dxa" w:w="0"/>
            <w:shd w:fill="FFFFFF" w:val="clear"/>
            <w:tcMar>
              <w:top w:type="dxa" w:w="80"/>
              <w:left w:type="dxa" w:w="100"/>
              <w:bottom w:type="dxa" w:w="80"/>
              <w:right w:type="dxa" w:w="100"/>
            </w:tcMar>
          </w:tcPr>
          <w:p>
            <w:r>
              <w:rPr>
                <w:b w:val="false"/>
                <w:bCs w:val="false"/>
                <w:color w:val="222222"/>
                <w:sz w:val="19"/>
                <w:szCs w:val="19"/>
              </w:rPr>
              <w:t xml:space="preserve">Validate with 3–5 paying pilot customers before expanding scope</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Competitive entry from funded ESG platforms moving down-market</w:t>
            </w:r>
          </w:p>
        </w:tc>
        <w:tc>
          <w:tcPr>
            <w:tcW w:type="dxa" w:w="0"/>
            <w:shd w:fill="FFFFFF" w:val="clear"/>
            <w:tcMar>
              <w:top w:type="dxa" w:w="80"/>
              <w:left w:type="dxa" w:w="100"/>
              <w:bottom w:type="dxa" w:w="80"/>
              <w:right w:type="dxa" w:w="100"/>
            </w:tcMar>
          </w:tcPr>
          <w:p>
            <w:r>
              <w:rPr>
                <w:b w:val="false"/>
                <w:bCs w:val="false"/>
                <w:color w:val="222222"/>
                <w:sz w:val="19"/>
                <w:szCs w:val="19"/>
              </w:rPr>
              <w:t xml:space="preserve">Medium</w:t>
            </w:r>
          </w:p>
        </w:tc>
        <w:tc>
          <w:tcPr>
            <w:tcW w:type="dxa" w:w="0"/>
            <w:shd w:fill="FFFFFF" w:val="clear"/>
            <w:tcMar>
              <w:top w:type="dxa" w:w="80"/>
              <w:left w:type="dxa" w:w="100"/>
              <w:bottom w:type="dxa" w:w="80"/>
              <w:right w:type="dxa" w:w="100"/>
            </w:tcMar>
          </w:tcPr>
          <w:p>
            <w:r>
              <w:rPr>
                <w:b w:val="false"/>
                <w:bCs w:val="false"/>
                <w:color w:val="222222"/>
                <w:sz w:val="19"/>
                <w:szCs w:val="19"/>
              </w:rPr>
              <w:t xml:space="preserve">Move fast on the SME-specific workflow depth (materiality + governance) as differentiation</w:t>
            </w:r>
          </w:p>
        </w:tc>
      </w:tr>
    </w:tbl>
    <w:p>
      <w:pPr>
        <w:pStyle w:val="Heading1"/>
        <w:spacing w:after="200" w:before="400"/>
      </w:pPr>
      <w:r>
        <w:rPr>
          <w:b/>
          <w:bCs/>
          <w:color w:val="1F3A5F"/>
          <w:sz w:val="30"/>
          <w:szCs w:val="30"/>
        </w:rPr>
        <w:t xml:space="preserve">11. Success Metrics</w:t>
      </w:r>
    </w:p>
    <w:p>
      <w:pPr>
        <w:pStyle w:val="ListParagraph"/>
        <w:numPr>
          <w:ilvl w:val="0"/>
          <w:numId w:val="3"/>
        </w:numPr>
        <w:spacing w:after="80" w:line="270"/>
      </w:pPr>
      <w:r>
        <w:rPr>
          <w:color w:val="222222"/>
          <w:sz w:val="21"/>
          <w:szCs w:val="21"/>
        </w:rPr>
        <w:t xml:space="preserve">3–5 paying pilot customers within the first 6 months post-launch (validation gate before further investment).</w:t>
      </w:r>
    </w:p>
    <w:p>
      <w:pPr>
        <w:pStyle w:val="ListParagraph"/>
        <w:numPr>
          <w:ilvl w:val="0"/>
          <w:numId w:val="3"/>
        </w:numPr>
        <w:spacing w:after="80" w:line="270"/>
      </w:pPr>
      <w:r>
        <w:rPr>
          <w:color w:val="222222"/>
          <w:sz w:val="21"/>
          <w:szCs w:val="21"/>
        </w:rPr>
        <w:t xml:space="preserve">Customer retention above 80% at 12 months for pilot cohort.</w:t>
      </w:r>
    </w:p>
    <w:p>
      <w:pPr>
        <w:pStyle w:val="ListParagraph"/>
        <w:numPr>
          <w:ilvl w:val="0"/>
          <w:numId w:val="3"/>
        </w:numPr>
        <w:spacing w:after="80" w:line="270"/>
      </w:pPr>
      <w:r>
        <w:rPr>
          <w:color w:val="222222"/>
          <w:sz w:val="21"/>
          <w:szCs w:val="21"/>
        </w:rPr>
        <w:t xml:space="preserve">Average time to complete first disclosure cycle under 4 hours (vs. multi-week consultant engagements).</w:t>
      </w:r>
    </w:p>
    <w:p>
      <w:pPr>
        <w:pStyle w:val="ListParagraph"/>
        <w:numPr>
          <w:ilvl w:val="0"/>
          <w:numId w:val="3"/>
        </w:numPr>
        <w:spacing w:after="80" w:line="270"/>
      </w:pPr>
      <w:r>
        <w:rPr>
          <w:color w:val="222222"/>
          <w:sz w:val="21"/>
          <w:szCs w:val="21"/>
        </w:rPr>
        <w:t xml:space="preserve">20–50 paying customers by end of Year 2, per the Year 2 revenue scenario discussed with the founder.</w:t>
      </w:r>
    </w:p>
    <w:p>
      <w:pPr>
        <w:pStyle w:val="ListParagraph"/>
        <w:numPr>
          <w:ilvl w:val="0"/>
          <w:numId w:val="3"/>
        </w:numPr>
        <w:spacing w:after="80" w:line="270"/>
      </w:pPr>
      <w:r>
        <w:rPr>
          <w:color w:val="222222"/>
          <w:sz w:val="21"/>
          <w:szCs w:val="21"/>
        </w:rPr>
        <w:t xml:space="preserve">For Issuer-Ready specifically: at least one design-partner issuer confirms the coordination workflow measurably reduces their internal CSI-prep time before broader Issuer-Ready development proceeds.</w:t>
      </w:r>
    </w:p>
    <w:p>
      <w:pPr>
        <w:pStyle w:val="Heading1"/>
        <w:spacing w:after="200" w:before="400"/>
      </w:pPr>
      <w:r>
        <w:rPr>
          <w:b/>
          <w:bCs/>
          <w:color w:val="1F3A5F"/>
          <w:sz w:val="30"/>
          <w:szCs w:val="30"/>
        </w:rPr>
        <w:t xml:space="preserve">12. Approval</w:t>
      </w:r>
    </w:p>
    <w:p>
      <w:pPr>
        <w:spacing w:after="160" w:line="276"/>
      </w:pPr>
      <w:r>
        <w:rPr>
          <w:color w:val="222222"/>
          <w:sz w:val="21"/>
          <w:szCs w:val="21"/>
        </w:rPr>
        <w:t xml:space="preserve">This BRD is a working draft intended to guide PRD and SRS development. It should be revisited after pilot customer validation, and again after any material change to CSI's own feature set.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BRD — SDG/ESG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2026-08-28T10:37:44.758Z</dcterms:created>
  <dcterms:modified xsi:type="dcterms:W3CDTF">2026-08-28T10:37:44.758Z</dcterms:modified>
</cp:coreProperties>
</file>

<file path=docProps/custom.xml><?xml version="1.0" encoding="utf-8"?>
<Properties xmlns="http://schemas.openxmlformats.org/officeDocument/2006/custom-properties" xmlns:vt="http://schemas.openxmlformats.org/officeDocument/2006/docPropsVTypes"/>
</file>