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2E7D5B"/>
          <w:sz w:val="28"/>
          <w:szCs w:val="28"/>
        </w:rPr>
        <w:t xml:space="preserve">PRODUCT REQUIREMENTS DOCUMENT</w:t>
      </w:r>
    </w:p>
    <w:p>
      <w:pPr>
        <w:spacing w:after="200"/>
        <w:jc w:val="center"/>
      </w:pPr>
      <w:r>
        <w:rPr>
          <w:b/>
          <w:bCs/>
          <w:color w:val="1F3A5F"/>
          <w:sz w:val="44"/>
          <w:szCs w:val="44"/>
        </w:rPr>
        <w:t xml:space="preserve">SDG/ESG Compliance Platform</w:t>
      </w:r>
    </w:p>
    <w:p>
      <w:pPr>
        <w:spacing w:after="800"/>
        <w:jc w:val="center"/>
      </w:pPr>
      <w:r>
        <w:rPr>
          <w:color w:val="595959"/>
          <w:sz w:val="24"/>
          <w:szCs w:val="24"/>
        </w:rPr>
        <w:t xml:space="preserve">A SEDG-aligned sustainability disclosure &amp; reporting-operations platform for Malaysia</w:t>
      </w:r>
    </w:p>
    <w:p>
      <w:pPr>
        <w:spacing w:after="80"/>
        <w:jc w:val="center"/>
      </w:pPr>
      <w:r>
        <w:rPr>
          <w:color w:val="595959"/>
          <w:sz w:val="20"/>
          <w:szCs w:val="20"/>
        </w:rPr>
        <w:t xml:space="preserve">Prepared for: Sarvess</w:t>
      </w:r>
    </w:p>
    <w:p>
      <w:pPr>
        <w:spacing w:after="80"/>
        <w:jc w:val="center"/>
      </w:pPr>
      <w:r>
        <w:rPr>
          <w:color w:val="595959"/>
          <w:sz w:val="20"/>
          <w:szCs w:val="20"/>
        </w:rPr>
        <w:t xml:space="preserve">Market: Malaysia (SME / SEDG-aligned segment)</w:t>
      </w:r>
    </w:p>
    <w:p>
      <w:pPr>
        <w:spacing w:after="80"/>
        <w:jc w:val="center"/>
      </w:pPr>
      <w:r>
        <w:rPr>
          <w:color w:val="595959"/>
          <w:sz w:val="20"/>
          <w:szCs w:val="20"/>
        </w:rPr>
        <w:t xml:space="preserve">Version 1.1 — August 2026</w:t>
      </w:r>
    </w:p>
    <w:p>
      <w:r>
        <w:br w:type="page"/>
      </w:r>
    </w:p>
    <w:p>
      <w:pPr>
        <w:pStyle w:val="Heading1"/>
        <w:spacing w:after="200" w:before="400"/>
      </w:pPr>
      <w:r>
        <w:rPr>
          <w:b/>
          <w:bCs/>
          <w:color w:val="1F3A5F"/>
          <w:sz w:val="30"/>
          <w:szCs w:val="30"/>
        </w:rPr>
        <w:t xml:space="preserve">1. Document Control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6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Field</w:t>
            </w:r>
          </w:p>
        </w:tc>
        <w:tc>
          <w:tcPr>
            <w:tcW w:type="dxa" w:w="0"/>
            <w:shd w:fill="1F3A5F" w:val="clear"/>
            <w:tcMar>
              <w:top w:type="dxa" w:w="80"/>
              <w:left w:type="dxa" w:w="100"/>
              <w:bottom w:type="dxa" w:w="80"/>
              <w:right w:type="dxa" w:w="100"/>
            </w:tcMar>
          </w:tcPr>
          <w:p>
            <w:r>
              <w:rPr>
                <w:b/>
                <w:bCs/>
                <w:color w:val="FFFFFF"/>
                <w:sz w:val="19"/>
                <w:szCs w:val="19"/>
              </w:rPr>
              <w:t xml:space="preserve">Detail</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Document Type</w:t>
            </w:r>
          </w:p>
        </w:tc>
        <w:tc>
          <w:tcPr>
            <w:tcW w:type="dxa" w:w="0"/>
            <w:shd w:fill="FFFFFF" w:val="clear"/>
            <w:tcMar>
              <w:top w:type="dxa" w:w="80"/>
              <w:left w:type="dxa" w:w="100"/>
              <w:bottom w:type="dxa" w:w="80"/>
              <w:right w:type="dxa" w:w="100"/>
            </w:tcMar>
          </w:tcPr>
          <w:p>
            <w:r>
              <w:rPr>
                <w:b w:val="false"/>
                <w:bCs w:val="false"/>
                <w:color w:val="222222"/>
                <w:sz w:val="19"/>
                <w:szCs w:val="19"/>
              </w:rPr>
              <w:t xml:space="preserve">Product Requirements Document (PRD)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Related Document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BRD_SDG_ESG_Platform.docx</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Version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1.1</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Date</w:t>
            </w:r>
          </w:p>
        </w:tc>
        <w:tc>
          <w:tcPr>
            <w:tcW w:type="dxa" w:w="0"/>
            <w:shd w:fill="FFFFFF" w:val="clear"/>
            <w:tcMar>
              <w:top w:type="dxa" w:w="80"/>
              <w:left w:type="dxa" w:w="100"/>
              <w:bottom w:type="dxa" w:w="80"/>
              <w:right w:type="dxa" w:w="100"/>
            </w:tcMar>
          </w:tcPr>
          <w:p>
            <w:r>
              <w:rPr>
                <w:b w:val="false"/>
                <w:bCs w:val="false"/>
                <w:color w:val="222222"/>
                <w:sz w:val="19"/>
                <w:szCs w:val="19"/>
              </w:rPr>
              <w:t xml:space="preserve">August 2026</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Author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Sarvess</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Change Note</w:t>
            </w:r>
          </w:p>
        </w:tc>
        <w:tc>
          <w:tcPr>
            <w:tcW w:type="dxa" w:w="0"/>
            <w:shd w:fill="FFFFFF" w:val="clear"/>
            <w:tcMar>
              <w:top w:type="dxa" w:w="80"/>
              <w:left w:type="dxa" w:w="100"/>
              <w:bottom w:type="dxa" w:w="80"/>
              <w:right w:type="dxa" w:w="100"/>
            </w:tcMar>
          </w:tcPr>
          <w:p>
            <w:r>
              <w:rPr>
                <w:b w:val="false"/>
                <w:bCs w:val="false"/>
                <w:color w:val="222222"/>
                <w:sz w:val="19"/>
                <w:szCs w:val="19"/>
              </w:rPr>
              <w:t xml:space="preserve">v1.1: Issuer-Ready repositioned as a reporting-operations layer (multi-department coordination, monthly tracking, audit trail) after confirming CSI is the free, mandatory, feature-rich compliance channel. Calculator-type features removed to avoid duplicating CSI.</w:t>
            </w:r>
          </w:p>
        </w:tc>
      </w:tr>
    </w:tbl>
    <w:p>
      <w:pPr>
        <w:spacing w:after="300"/>
      </w:pPr>
    </w:p>
    <w:p>
      <w:pPr>
        <w:pStyle w:val="Heading1"/>
        <w:spacing w:after="200" w:before="400"/>
      </w:pPr>
      <w:r>
        <w:rPr>
          <w:b/>
          <w:bCs/>
          <w:color w:val="1F3A5F"/>
          <w:sz w:val="30"/>
          <w:szCs w:val="30"/>
        </w:rPr>
        <w:t xml:space="preserve">2. Product Overview</w:t>
      </w:r>
    </w:p>
    <w:p>
      <w:pPr>
        <w:spacing w:after="160" w:line="276"/>
      </w:pPr>
      <w:r>
        <w:rPr>
          <w:color w:val="222222"/>
          <w:sz w:val="21"/>
          <w:szCs w:val="21"/>
        </w:rPr>
        <w:t xml:space="preserve">A tiered SaaS platform covering Malaysian ESG disclosure needs across two distinct value propositions: for SMEs (Starter, Growth), a guided disclosure tool that replaces spreadsheets and consultants for SEDG-aligned reporting; for listed issuers (Issuer-Ready), an internal reporting-operations layer that coordinates the departments who each hold a piece of the required data, so the company's own team can complete their mandatory CSI submission quickly and accurately.</w:t>
      </w:r>
    </w:p>
    <w:p>
      <w:pPr>
        <w:spacing w:after="160" w:line="276"/>
      </w:pPr>
      <w:r>
        <w:rPr>
          <w:color w:val="222222"/>
          <w:sz w:val="21"/>
          <w:szCs w:val="21"/>
        </w:rPr>
        <w:t xml:space="preserve">Positioning note: Bursa's CSI platform is the mandatory, free, official reporting channel for listed issuers, and already includes a Scope 1/2 calculator and Scope 3 estimation tool. This product does not replace CSI and does not attempt to calculate emissions or make compliance judgments — both are already solved, for free, by Bursa. The product's value for issuers is entirely about the internal coordination problem CSI does not touch: getting HR, EHS, finance, and operations to each contribute their piece of the data, on time, in one tracked place, throughout the year — not scrambling by email in the weeks before the annual CSI session.</w:t>
      </w:r>
    </w:p>
    <w:p>
      <w:pPr>
        <w:pStyle w:val="Heading1"/>
        <w:spacing w:after="200" w:before="400"/>
      </w:pPr>
      <w:r>
        <w:rPr>
          <w:b/>
          <w:bCs/>
          <w:color w:val="1F3A5F"/>
          <w:sz w:val="30"/>
          <w:szCs w:val="30"/>
        </w:rPr>
        <w:t xml:space="preserve">3. Target Users / Personas</w:t>
      </w:r>
    </w:p>
    <w:p>
      <w:pPr>
        <w:pStyle w:val="Heading3"/>
        <w:spacing w:after="100" w:before="200"/>
      </w:pPr>
      <w:r>
        <w:rPr>
          <w:b/>
          <w:bCs/>
          <w:color w:val="2E7D5B"/>
          <w:sz w:val="21"/>
          <w:szCs w:val="21"/>
        </w:rPr>
        <w:t xml:space="preserve">Persona 1 — SME Sustainability Owner ("Mei Ling") — Starter / Growth</w:t>
      </w:r>
    </w:p>
    <w:p>
      <w:pPr>
        <w:pStyle w:val="ListParagraph"/>
        <w:numPr>
          <w:ilvl w:val="0"/>
          <w:numId w:val="2"/>
        </w:numPr>
        <w:spacing w:after="80" w:line="270"/>
      </w:pPr>
      <w:r>
        <w:rPr>
          <w:color w:val="222222"/>
          <w:sz w:val="21"/>
          <w:szCs w:val="21"/>
        </w:rPr>
        <w:t xml:space="preserve">Finance manager or admin lead at a 30–150 employee manufacturing or logistics SME, ESG responsibility added to an existing role.</w:t>
      </w:r>
    </w:p>
    <w:p>
      <w:pPr>
        <w:pStyle w:val="ListParagraph"/>
        <w:numPr>
          <w:ilvl w:val="0"/>
          <w:numId w:val="2"/>
        </w:numPr>
        <w:spacing w:after="80" w:line="270"/>
      </w:pPr>
      <w:r>
        <w:rPr>
          <w:color w:val="222222"/>
          <w:sz w:val="21"/>
          <w:szCs w:val="21"/>
        </w:rPr>
        <w:t xml:space="preserve">No formal sustainability training; received a supplier ESG data request from a large buyer or bank.</w:t>
      </w:r>
    </w:p>
    <w:p>
      <w:pPr>
        <w:pStyle w:val="ListParagraph"/>
        <w:numPr>
          <w:ilvl w:val="0"/>
          <w:numId w:val="2"/>
        </w:numPr>
        <w:spacing w:after="80" w:line="270"/>
      </w:pPr>
      <w:r>
        <w:rPr>
          <w:color w:val="222222"/>
          <w:sz w:val="21"/>
          <w:szCs w:val="21"/>
        </w:rPr>
        <w:t xml:space="preserve">Needs: a clear starting point, minimal jargon, low time investment, defensible output to send to the requester.</w:t>
      </w:r>
    </w:p>
    <w:p>
      <w:pPr>
        <w:pStyle w:val="Heading3"/>
        <w:spacing w:after="100" w:before="200"/>
      </w:pPr>
      <w:r>
        <w:rPr>
          <w:b/>
          <w:bCs/>
          <w:color w:val="2E7D5B"/>
          <w:sz w:val="21"/>
          <w:szCs w:val="21"/>
        </w:rPr>
        <w:t xml:space="preserve">Persona 2 — ESG Consultant / Advisor ("Farah") — cross-plan add-on</w:t>
      </w:r>
    </w:p>
    <w:p>
      <w:pPr>
        <w:pStyle w:val="ListParagraph"/>
        <w:numPr>
          <w:ilvl w:val="0"/>
          <w:numId w:val="2"/>
        </w:numPr>
        <w:spacing w:after="80" w:line="270"/>
      </w:pPr>
      <w:r>
        <w:rPr>
          <w:color w:val="222222"/>
          <w:sz w:val="21"/>
          <w:szCs w:val="21"/>
        </w:rPr>
        <w:t xml:space="preserve">Independent consultant or small advisory firm supporting multiple SME and/or issuer clients.</w:t>
      </w:r>
    </w:p>
    <w:p>
      <w:pPr>
        <w:pStyle w:val="ListParagraph"/>
        <w:numPr>
          <w:ilvl w:val="0"/>
          <w:numId w:val="2"/>
        </w:numPr>
        <w:spacing w:after="80" w:line="270"/>
      </w:pPr>
      <w:r>
        <w:rPr>
          <w:color w:val="222222"/>
          <w:sz w:val="21"/>
          <w:szCs w:val="21"/>
        </w:rPr>
        <w:t xml:space="preserve">Needs: a tool to manage several client accounts efficiently, replacing manual spreadsheet templates.</w:t>
      </w:r>
    </w:p>
    <w:p>
      <w:pPr>
        <w:pStyle w:val="Heading3"/>
        <w:spacing w:after="100" w:before="200"/>
      </w:pPr>
      <w:r>
        <w:rPr>
          <w:b/>
          <w:bCs/>
          <w:color w:val="2E7D5B"/>
          <w:sz w:val="21"/>
          <w:szCs w:val="21"/>
        </w:rPr>
        <w:t xml:space="preserve">Persona 3 — Issuer Sustainability Manager ("Kevin") — Issuer-Ready</w:t>
      </w:r>
    </w:p>
    <w:p>
      <w:pPr>
        <w:pStyle w:val="ListParagraph"/>
        <w:numPr>
          <w:ilvl w:val="0"/>
          <w:numId w:val="2"/>
        </w:numPr>
        <w:spacing w:after="80" w:line="270"/>
      </w:pPr>
      <w:r>
        <w:rPr>
          <w:color w:val="222222"/>
          <w:sz w:val="21"/>
          <w:szCs w:val="21"/>
        </w:rPr>
        <w:t xml:space="preserve">Sustainability or finance team member at a Main Market or ACE Market listed issuer, personally responsible for the company's CSI submission each year.</w:t>
      </w:r>
    </w:p>
    <w:p>
      <w:pPr>
        <w:pStyle w:val="ListParagraph"/>
        <w:numPr>
          <w:ilvl w:val="0"/>
          <w:numId w:val="2"/>
        </w:numPr>
        <w:spacing w:after="80" w:line="270"/>
      </w:pPr>
      <w:r>
        <w:rPr>
          <w:color w:val="222222"/>
          <w:sz w:val="21"/>
          <w:szCs w:val="21"/>
        </w:rPr>
        <w:t xml:space="preserve">Does not need help calculating emissions or understanding what CSI wants — he needs help getting five other departments to send him their numbers on time, in a consistent format, without a two-week email chase every March.</w:t>
      </w:r>
    </w:p>
    <w:p>
      <w:pPr>
        <w:pStyle w:val="ListParagraph"/>
        <w:numPr>
          <w:ilvl w:val="0"/>
          <w:numId w:val="2"/>
        </w:numPr>
        <w:spacing w:after="80" w:line="270"/>
      </w:pPr>
      <w:r>
        <w:rPr>
          <w:color w:val="222222"/>
          <w:sz w:val="21"/>
          <w:szCs w:val="21"/>
        </w:rPr>
        <w:t xml:space="preserve">Needs: a shared internal system with named owners per matter, visible submission status, reminders, and a clean audit trail — so that when it's time to sit down in CSI, the data is already assembled.</w:t>
      </w:r>
    </w:p>
    <w:p>
      <w:pPr>
        <w:pStyle w:val="Heading3"/>
        <w:spacing w:after="100" w:before="200"/>
      </w:pPr>
      <w:r>
        <w:rPr>
          <w:b/>
          <w:bCs/>
          <w:color w:val="2E7D5B"/>
          <w:sz w:val="21"/>
          <w:szCs w:val="21"/>
        </w:rPr>
        <w:t xml:space="preserve">Persona 4 — Departmental Contributor ("Aisha", HR/EHS/Finance) — Issuer-Ready, secondary user</w:t>
      </w:r>
    </w:p>
    <w:p>
      <w:pPr>
        <w:pStyle w:val="ListParagraph"/>
        <w:numPr>
          <w:ilvl w:val="0"/>
          <w:numId w:val="2"/>
        </w:numPr>
        <w:spacing w:after="80" w:line="270"/>
      </w:pPr>
      <w:r>
        <w:rPr>
          <w:color w:val="222222"/>
          <w:sz w:val="21"/>
          <w:szCs w:val="21"/>
        </w:rPr>
        <w:t xml:space="preserve">Doesn't own the overall disclosure, just owns a handful of indicators relevant to her department (e.g. safety incidents, training hours).</w:t>
      </w:r>
    </w:p>
    <w:p>
      <w:pPr>
        <w:pStyle w:val="ListParagraph"/>
        <w:numPr>
          <w:ilvl w:val="0"/>
          <w:numId w:val="2"/>
        </w:numPr>
        <w:spacing w:after="80" w:line="270"/>
      </w:pPr>
      <w:r>
        <w:rPr>
          <w:color w:val="222222"/>
          <w:sz w:val="21"/>
          <w:szCs w:val="21"/>
        </w:rPr>
        <w:t xml:space="preserve">Needs: a simple, low-friction way to log her numbers monthly without needing to understand the broader compliance context.</w:t>
      </w:r>
    </w:p>
    <w:p>
      <w:pPr>
        <w:pStyle w:val="Heading3"/>
        <w:spacing w:after="100" w:before="200"/>
      </w:pPr>
      <w:r>
        <w:rPr>
          <w:b/>
          <w:bCs/>
          <w:color w:val="2E7D5B"/>
          <w:sz w:val="21"/>
          <w:szCs w:val="21"/>
        </w:rPr>
        <w:t xml:space="preserve">Persona 5 — Buyer / Data Requester (secondary, non-paying)</w:t>
      </w:r>
    </w:p>
    <w:p>
      <w:pPr>
        <w:pStyle w:val="ListParagraph"/>
        <w:numPr>
          <w:ilvl w:val="0"/>
          <w:numId w:val="2"/>
        </w:numPr>
        <w:spacing w:after="80" w:line="270"/>
      </w:pPr>
      <w:r>
        <w:rPr>
          <w:color w:val="222222"/>
          <w:sz w:val="21"/>
          <w:szCs w:val="21"/>
        </w:rPr>
        <w:t xml:space="preserve">Procurement or sustainability team at a large issuer requesting supplier ESG data.</w:t>
      </w:r>
    </w:p>
    <w:p>
      <w:pPr>
        <w:pStyle w:val="ListParagraph"/>
        <w:numPr>
          <w:ilvl w:val="0"/>
          <w:numId w:val="2"/>
        </w:numPr>
        <w:spacing w:after="80" w:line="270"/>
      </w:pPr>
      <w:r>
        <w:rPr>
          <w:color w:val="222222"/>
          <w:sz w:val="21"/>
          <w:szCs w:val="21"/>
        </w:rPr>
        <w:t xml:space="preserve">Needs: a consistent, comparable data format across suppliers, served indirectly via the platform's export format.</w:t>
      </w:r>
    </w:p>
    <w:p>
      <w:pPr>
        <w:pStyle w:val="Heading1"/>
        <w:spacing w:after="200" w:before="400"/>
      </w:pPr>
      <w:r>
        <w:rPr>
          <w:b/>
          <w:bCs/>
          <w:color w:val="1F3A5F"/>
          <w:sz w:val="30"/>
          <w:szCs w:val="30"/>
        </w:rPr>
        <w:t xml:space="preserve">4. Goals and Non-Goals</w:t>
      </w:r>
    </w:p>
    <w:p>
      <w:pPr>
        <w:pStyle w:val="Heading3"/>
        <w:spacing w:after="100" w:before="200"/>
      </w:pPr>
      <w:r>
        <w:rPr>
          <w:b/>
          <w:bCs/>
          <w:color w:val="2E7D5B"/>
          <w:sz w:val="21"/>
          <w:szCs w:val="21"/>
        </w:rPr>
        <w:t xml:space="preserve">Goals</w:t>
      </w:r>
    </w:p>
    <w:p>
      <w:pPr>
        <w:pStyle w:val="ListParagraph"/>
        <w:numPr>
          <w:ilvl w:val="0"/>
          <w:numId w:val="3"/>
        </w:numPr>
        <w:spacing w:after="80" w:line="270"/>
      </w:pPr>
      <w:r>
        <w:rPr>
          <w:color w:val="222222"/>
          <w:sz w:val="21"/>
          <w:szCs w:val="21"/>
        </w:rPr>
        <w:t xml:space="preserve">Let an SME complete a first materiality assessment and baseline disclosure in under a day, without external help.</w:t>
      </w:r>
    </w:p>
    <w:p>
      <w:pPr>
        <w:pStyle w:val="ListParagraph"/>
        <w:numPr>
          <w:ilvl w:val="0"/>
          <w:numId w:val="3"/>
        </w:numPr>
        <w:spacing w:after="80" w:line="270"/>
      </w:pPr>
      <w:r>
        <w:rPr>
          <w:color w:val="222222"/>
          <w:sz w:val="21"/>
          <w:szCs w:val="21"/>
        </w:rPr>
        <w:t xml:space="preserve">Make multi-year indicator tracking and target-setting easier to maintain than a spreadsheet.</w:t>
      </w:r>
    </w:p>
    <w:p>
      <w:pPr>
        <w:pStyle w:val="ListParagraph"/>
        <w:numPr>
          <w:ilvl w:val="0"/>
          <w:numId w:val="3"/>
        </w:numPr>
        <w:spacing w:after="80" w:line="270"/>
      </w:pPr>
      <w:r>
        <w:rPr>
          <w:color w:val="222222"/>
          <w:sz w:val="21"/>
          <w:szCs w:val="21"/>
        </w:rPr>
        <w:t xml:space="preserve">Provide export output that a buyer, bank, or auditor will accept as a credible disclosure summary.</w:t>
      </w:r>
    </w:p>
    <w:p>
      <w:pPr>
        <w:pStyle w:val="ListParagraph"/>
        <w:numPr>
          <w:ilvl w:val="0"/>
          <w:numId w:val="3"/>
        </w:numPr>
        <w:spacing w:after="80" w:line="270"/>
      </w:pPr>
      <w:r>
        <w:rPr>
          <w:color w:val="222222"/>
          <w:sz w:val="21"/>
          <w:szCs w:val="21"/>
        </w:rPr>
        <w:t xml:space="preserve">Validate willingness to pay with a small pilot cohort before expanding scope.</w:t>
      </w:r>
    </w:p>
    <w:p>
      <w:pPr>
        <w:pStyle w:val="ListParagraph"/>
        <w:numPr>
          <w:ilvl w:val="0"/>
          <w:numId w:val="3"/>
        </w:numPr>
        <w:spacing w:after="80" w:line="270"/>
      </w:pPr>
      <w:r>
        <w:rPr>
          <w:color w:val="222222"/>
          <w:sz w:val="21"/>
          <w:szCs w:val="21"/>
        </w:rPr>
        <w:t xml:space="preserve">For Issuer-Ready, measurably reduce the internal time an issuer's sustainability team spends assembling data before their annual CSI session — this is the plan's entire value proposition and should be the primary metric tracked with any design-partner issuer.</w:t>
      </w:r>
    </w:p>
    <w:p>
      <w:pPr>
        <w:pStyle w:val="Heading3"/>
        <w:spacing w:after="100" w:before="200"/>
      </w:pPr>
      <w:r>
        <w:rPr>
          <w:b/>
          <w:bCs/>
          <w:color w:val="2E7D5B"/>
          <w:sz w:val="21"/>
          <w:szCs w:val="21"/>
        </w:rPr>
        <w:t xml:space="preserve">Non-Goals (all phases)</w:t>
      </w:r>
    </w:p>
    <w:p>
      <w:pPr>
        <w:pStyle w:val="ListParagraph"/>
        <w:numPr>
          <w:ilvl w:val="0"/>
          <w:numId w:val="2"/>
        </w:numPr>
        <w:spacing w:after="80" w:line="270"/>
      </w:pPr>
      <w:r>
        <w:rPr>
          <w:color w:val="222222"/>
          <w:sz w:val="21"/>
          <w:szCs w:val="21"/>
        </w:rPr>
        <w:t xml:space="preserve">Replacing or integrating directly with Bursa's CSI platform — no public integration channel exists; the Issuer-Ready plan is a pre-CSI coordination layer, not a submission channel.</w:t>
      </w:r>
    </w:p>
    <w:p>
      <w:pPr>
        <w:pStyle w:val="ListParagraph"/>
        <w:numPr>
          <w:ilvl w:val="0"/>
          <w:numId w:val="2"/>
        </w:numPr>
        <w:spacing w:after="80" w:line="270"/>
      </w:pPr>
      <w:r>
        <w:rPr>
          <w:color w:val="222222"/>
          <w:sz w:val="21"/>
          <w:szCs w:val="21"/>
        </w:rPr>
        <w:t xml:space="preserve">Calculating or estimating GHG emissions (Scope 1/2/3) in any form — CSI already provides a free Scope 1/2 calculator and FairSupply-based Scope 3 estimation. Building a competing calculator adds liability and support burden with no differentiation.</w:t>
      </w:r>
    </w:p>
    <w:p>
      <w:pPr>
        <w:pStyle w:val="ListParagraph"/>
        <w:numPr>
          <w:ilvl w:val="0"/>
          <w:numId w:val="2"/>
        </w:numPr>
        <w:spacing w:after="80" w:line="270"/>
      </w:pPr>
      <w:r>
        <w:rPr>
          <w:color w:val="222222"/>
          <w:sz w:val="21"/>
          <w:szCs w:val="21"/>
        </w:rPr>
        <w:t xml:space="preserve">Acting as the statutory system of record for a Sustainability Statement — issuers remain responsible for final CSI submission and statutory filing.</w:t>
      </w:r>
    </w:p>
    <w:p>
      <w:pPr>
        <w:pStyle w:val="ListParagraph"/>
        <w:numPr>
          <w:ilvl w:val="0"/>
          <w:numId w:val="2"/>
        </w:numPr>
        <w:spacing w:after="80" w:line="270"/>
      </w:pPr>
      <w:r>
        <w:rPr>
          <w:color w:val="222222"/>
          <w:sz w:val="21"/>
          <w:szCs w:val="21"/>
        </w:rPr>
        <w:t xml:space="preserve">Performing external assurance itself — the platform prepares assurance-ready documentation but does not replace a licensed assurance provider.</w:t>
      </w:r>
    </w:p>
    <w:p>
      <w:pPr>
        <w:pStyle w:val="ListParagraph"/>
        <w:numPr>
          <w:ilvl w:val="0"/>
          <w:numId w:val="2"/>
        </w:numPr>
        <w:spacing w:after="80" w:line="270"/>
      </w:pPr>
      <w:r>
        <w:rPr>
          <w:color w:val="222222"/>
          <w:sz w:val="21"/>
          <w:szCs w:val="21"/>
        </w:rPr>
        <w:t xml:space="preserve">Making compliance or materiality judgment calls on the company's behalf — the platform organises and tracks data; the company's own team decides what is material and what is correct.</w:t>
      </w:r>
    </w:p>
    <w:p>
      <w:pPr>
        <w:pStyle w:val="Heading1"/>
        <w:spacing w:after="200" w:before="400"/>
      </w:pPr>
      <w:r>
        <w:rPr>
          <w:b/>
          <w:bCs/>
          <w:color w:val="1F3A5F"/>
          <w:sz w:val="30"/>
          <w:szCs w:val="30"/>
        </w:rPr>
        <w:t xml:space="preserve">5. Feature Set</w:t>
      </w:r>
    </w:p>
    <w:p>
      <w:pPr>
        <w:pStyle w:val="Heading2"/>
        <w:spacing w:after="150" w:before="300"/>
      </w:pPr>
      <w:r>
        <w:rPr>
          <w:b/>
          <w:bCs/>
          <w:color w:val="1F3A5F"/>
          <w:sz w:val="24"/>
          <w:szCs w:val="24"/>
        </w:rPr>
        <w:t xml:space="preserve">5.1 Onboarding &amp; Company Profile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1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Company setup wizard</w:t>
            </w:r>
          </w:p>
        </w:tc>
        <w:tc>
          <w:tcPr>
            <w:tcW w:type="dxa" w:w="0"/>
            <w:shd w:fill="FFFFFF" w:val="clear"/>
            <w:tcMar>
              <w:top w:type="dxa" w:w="80"/>
              <w:left w:type="dxa" w:w="100"/>
              <w:bottom w:type="dxa" w:w="80"/>
              <w:right w:type="dxa" w:w="100"/>
            </w:tcMar>
          </w:tcPr>
          <w:p>
            <w:r>
              <w:rPr>
                <w:b w:val="false"/>
                <w:bCs w:val="false"/>
                <w:color w:val="222222"/>
                <w:sz w:val="19"/>
                <w:szCs w:val="19"/>
              </w:rPr>
              <w:t xml:space="preserve">Capture company size, sector, and reason for adoption (buyer request, bank request, voluntary, internal CSI-prep)</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Sector tagging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Tag company to a sector for future sector-specific indicator relevance (pilot: Manufacturing)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Tier selection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Choose Basic / Intermediate / Advanced maturity tier (Starter/Growth) or 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bl>
    <w:p>
      <w:pPr>
        <w:pStyle w:val="Heading2"/>
        <w:spacing w:after="150" w:before="300"/>
      </w:pPr>
      <w:r>
        <w:rPr>
          <w:b/>
          <w:bCs/>
          <w:color w:val="1F3A5F"/>
          <w:sz w:val="24"/>
          <w:szCs w:val="24"/>
        </w:rPr>
        <w:t xml:space="preserve">5.2 Materiality Assessment Module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1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Stakeholder mapping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Identify relevant stakeholder groups (employees, customers, investors, community, regulators)</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Matter prioritisation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Score the applicable sustainability matters by impact and stakeholder influence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Materiality matrix output</w:t>
            </w:r>
          </w:p>
        </w:tc>
        <w:tc>
          <w:tcPr>
            <w:tcW w:type="dxa" w:w="0"/>
            <w:shd w:fill="FFFFFF" w:val="clear"/>
            <w:tcMar>
              <w:top w:type="dxa" w:w="80"/>
              <w:left w:type="dxa" w:w="100"/>
              <w:bottom w:type="dxa" w:w="80"/>
              <w:right w:type="dxa" w:w="100"/>
            </w:tcMar>
          </w:tcPr>
          <w:p>
            <w:r>
              <w:rPr>
                <w:b w:val="false"/>
                <w:bCs w:val="false"/>
                <w:color w:val="222222"/>
                <w:sz w:val="19"/>
                <w:szCs w:val="19"/>
              </w:rPr>
              <w:t xml:space="preserve">Visual matrix + ranked list, exportable, used to guide which indicators to prioritise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bl>
    <w:p>
      <w:pPr>
        <w:pStyle w:val="Heading2"/>
        <w:spacing w:after="150" w:before="300"/>
      </w:pPr>
      <w:r>
        <w:rPr>
          <w:b/>
          <w:bCs/>
          <w:color w:val="1F3A5F"/>
          <w:sz w:val="24"/>
          <w:szCs w:val="24"/>
        </w:rPr>
        <w:t xml:space="preserve">5.3 Governance Documentation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1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Governance structure builder</w:t>
            </w:r>
          </w:p>
        </w:tc>
        <w:tc>
          <w:tcPr>
            <w:tcW w:type="dxa" w:w="0"/>
            <w:shd w:fill="FFFFFF" w:val="clear"/>
            <w:tcMar>
              <w:top w:type="dxa" w:w="80"/>
              <w:left w:type="dxa" w:w="100"/>
              <w:bottom w:type="dxa" w:w="80"/>
              <w:right w:type="dxa" w:w="100"/>
            </w:tcMar>
          </w:tcPr>
          <w:p>
            <w:r>
              <w:rPr>
                <w:b w:val="false"/>
                <w:bCs w:val="false"/>
                <w:color w:val="222222"/>
                <w:sz w:val="19"/>
                <w:szCs w:val="19"/>
              </w:rPr>
              <w:t xml:space="preserve">Document oversight, strategic management, and day-to-day roles for sustainability accountability</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Roles &amp; responsibilities log</w:t>
            </w:r>
          </w:p>
        </w:tc>
        <w:tc>
          <w:tcPr>
            <w:tcW w:type="dxa" w:w="0"/>
            <w:shd w:fill="FFFFFF" w:val="clear"/>
            <w:tcMar>
              <w:top w:type="dxa" w:w="80"/>
              <w:left w:type="dxa" w:w="100"/>
              <w:bottom w:type="dxa" w:w="80"/>
              <w:right w:type="dxa" w:w="100"/>
            </w:tcMar>
          </w:tcPr>
          <w:p>
            <w:r>
              <w:rPr>
                <w:b w:val="false"/>
                <w:bCs w:val="false"/>
                <w:color w:val="222222"/>
                <w:sz w:val="19"/>
                <w:szCs w:val="19"/>
              </w:rPr>
              <w:t xml:space="preserve">Assign named/role-based owners per sustainability matter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bl>
    <w:p>
      <w:pPr>
        <w:pStyle w:val="Heading2"/>
        <w:spacing w:after="150" w:before="300"/>
      </w:pPr>
      <w:r>
        <w:rPr>
          <w:b/>
          <w:bCs/>
          <w:color w:val="1F3A5F"/>
          <w:sz w:val="24"/>
          <w:szCs w:val="24"/>
        </w:rPr>
        <w:t xml:space="preserve">5.4 Indicator Data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4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Monthly data entry</w:t>
            </w:r>
          </w:p>
        </w:tc>
        <w:tc>
          <w:tcPr>
            <w:tcW w:type="dxa" w:w="0"/>
            <w:shd w:fill="FFFFFF" w:val="clear"/>
            <w:tcMar>
              <w:top w:type="dxa" w:w="80"/>
              <w:left w:type="dxa" w:w="100"/>
              <w:bottom w:type="dxa" w:w="80"/>
              <w:right w:type="dxa" w:w="100"/>
            </w:tcMar>
          </w:tcPr>
          <w:p>
            <w:r>
              <w:rPr>
                <w:b w:val="false"/>
                <w:bCs w:val="false"/>
                <w:color w:val="222222"/>
                <w:sz w:val="19"/>
                <w:szCs w:val="19"/>
              </w:rPr>
              <w:t xml:space="preserve">Log indicator data monthly as it becomes available, rather than pre-calculating an annual figure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Automatic annual aggregation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Platform computes the disclosure-facing annual value from monthly entries (sum/latest/average/count depending on indicator type) — no manual totalling by the user</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Common indicator forms</w:t>
            </w:r>
          </w:p>
        </w:tc>
        <w:tc>
          <w:tcPr>
            <w:tcW w:type="dxa" w:w="0"/>
            <w:shd w:fill="FFFFFF" w:val="clear"/>
            <w:tcMar>
              <w:top w:type="dxa" w:w="80"/>
              <w:left w:type="dxa" w:w="100"/>
              <w:bottom w:type="dxa" w:w="80"/>
              <w:right w:type="dxa" w:w="100"/>
            </w:tcMar>
          </w:tcPr>
          <w:p>
            <w:r>
              <w:rPr>
                <w:b w:val="false"/>
                <w:bCs w:val="false"/>
                <w:color w:val="222222"/>
                <w:sz w:val="19"/>
                <w:szCs w:val="19"/>
              </w:rPr>
              <w:t xml:space="preserve">Structured input for all applicable matters per plan and market classification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Multi-year data table</w:t>
            </w:r>
          </w:p>
        </w:tc>
        <w:tc>
          <w:tcPr>
            <w:tcW w:type="dxa" w:w="0"/>
            <w:shd w:fill="FFFFFF" w:val="clear"/>
            <w:tcMar>
              <w:top w:type="dxa" w:w="80"/>
              <w:left w:type="dxa" w:w="100"/>
              <w:bottom w:type="dxa" w:w="80"/>
              <w:right w:type="dxa" w:w="100"/>
            </w:tcMar>
          </w:tcPr>
          <w:p>
            <w:r>
              <w:rPr>
                <w:b w:val="false"/>
                <w:bCs w:val="false"/>
                <w:color w:val="222222"/>
                <w:sz w:val="19"/>
                <w:szCs w:val="19"/>
              </w:rPr>
              <w:t xml:space="preserve">Store and display at least 3 financial years per indicator, per Bursa's rolling 3-year requirement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Target vs. actual tracking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Set performance targets per indicator and compare against the computed annual actual over time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Pilot sector-specific indicators</w:t>
            </w:r>
          </w:p>
        </w:tc>
        <w:tc>
          <w:tcPr>
            <w:tcW w:type="dxa" w:w="0"/>
            <w:shd w:fill="FFFFFF" w:val="clear"/>
            <w:tcMar>
              <w:top w:type="dxa" w:w="80"/>
              <w:left w:type="dxa" w:w="100"/>
              <w:bottom w:type="dxa" w:w="80"/>
              <w:right w:type="dxa" w:w="100"/>
            </w:tcMar>
          </w:tcPr>
          <w:p>
            <w:r>
              <w:rPr>
                <w:b w:val="false"/>
                <w:bCs w:val="false"/>
                <w:color w:val="222222"/>
                <w:sz w:val="19"/>
                <w:szCs w:val="19"/>
              </w:rPr>
              <w:t xml:space="preserve">One pilot sector module (e.g. Manufacturing) with additional relevant indicators</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Monthly drill-down / audit trail</w:t>
            </w:r>
          </w:p>
        </w:tc>
        <w:tc>
          <w:tcPr>
            <w:tcW w:type="dxa" w:w="0"/>
            <w:shd w:fill="FFFFFF" w:val="clear"/>
            <w:tcMar>
              <w:top w:type="dxa" w:w="80"/>
              <w:left w:type="dxa" w:w="100"/>
              <w:bottom w:type="dxa" w:w="80"/>
              <w:right w:type="dxa" w:w="100"/>
            </w:tcMar>
          </w:tcPr>
          <w:p>
            <w:r>
              <w:rPr>
                <w:b w:val="false"/>
                <w:bCs w:val="false"/>
                <w:color w:val="222222"/>
                <w:sz w:val="19"/>
                <w:szCs w:val="19"/>
              </w:rPr>
              <w:t xml:space="preserve">View the underlying monthly entries behind any computed annual figure, with entry source and timestamp</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bl>
    <w:p>
      <w:pPr>
        <w:pStyle w:val="Heading2"/>
        <w:spacing w:after="150" w:before="300"/>
      </w:pPr>
      <w:r>
        <w:rPr>
          <w:b/>
          <w:bCs/>
          <w:color w:val="1F3A5F"/>
          <w:sz w:val="24"/>
          <w:szCs w:val="24"/>
        </w:rPr>
        <w:t xml:space="preserve">5.5 Reporting &amp; Export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4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Disclosure summary 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Generate a formatted PDF/Word summary suitable for buyer, bank, or annual-report input</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Progress dashboard</w:t>
            </w:r>
          </w:p>
        </w:tc>
        <w:tc>
          <w:tcPr>
            <w:tcW w:type="dxa" w:w="0"/>
            <w:shd w:fill="FFFFFF" w:val="clear"/>
            <w:tcMar>
              <w:top w:type="dxa" w:w="80"/>
              <w:left w:type="dxa" w:w="100"/>
              <w:bottom w:type="dxa" w:w="80"/>
              <w:right w:type="dxa" w:w="100"/>
            </w:tcMar>
          </w:tcPr>
          <w:p>
            <w:r>
              <w:rPr>
                <w:b w:val="false"/>
                <w:bCs w:val="false"/>
                <w:color w:val="222222"/>
                <w:sz w:val="19"/>
                <w:szCs w:val="19"/>
              </w:rPr>
              <w:t xml:space="preserve">At-a-glance view of completion status across the applicable matters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Benchmark view (future)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Compare anonymised performance against sector peers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Could</w:t>
            </w:r>
          </w:p>
        </w:tc>
      </w:tr>
    </w:tbl>
    <w:p>
      <w:pPr>
        <w:pStyle w:val="Heading2"/>
        <w:spacing w:after="150" w:before="300"/>
      </w:pPr>
      <w:r>
        <w:rPr>
          <w:b/>
          <w:bCs/>
          <w:color w:val="1F3A5F"/>
          <w:sz w:val="24"/>
          <w:szCs w:val="24"/>
        </w:rPr>
        <w:t xml:space="preserve">5.6 Account &amp; Billing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4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Tiered subscription billing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Starter / Growth / Issuer-Ready pricing tiers, monthly or annual</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Consultant multi-client view</w:t>
            </w:r>
          </w:p>
        </w:tc>
        <w:tc>
          <w:tcPr>
            <w:tcW w:type="dxa" w:w="0"/>
            <w:shd w:fill="FFFFFF" w:val="clear"/>
            <w:tcMar>
              <w:top w:type="dxa" w:w="80"/>
              <w:left w:type="dxa" w:w="100"/>
              <w:bottom w:type="dxa" w:w="80"/>
              <w:right w:type="dxa" w:w="100"/>
            </w:tcMar>
          </w:tcPr>
          <w:p>
            <w:r>
              <w:rPr>
                <w:b w:val="false"/>
                <w:bCs w:val="false"/>
                <w:color w:val="222222"/>
                <w:sz w:val="19"/>
                <w:szCs w:val="19"/>
              </w:rPr>
              <w:t xml:space="preserve">Allow a consultant account to manage multiple SME client instances</w:t>
            </w:r>
          </w:p>
        </w:tc>
        <w:tc>
          <w:tcPr>
            <w:tcW w:type="dxa" w:w="0"/>
            <w:shd w:fill="FFFFFF" w:val="clear"/>
            <w:tcMar>
              <w:top w:type="dxa" w:w="80"/>
              <w:left w:type="dxa" w:w="100"/>
              <w:bottom w:type="dxa" w:w="80"/>
              <w:right w:type="dxa" w:w="100"/>
            </w:tcMar>
          </w:tcPr>
          <w:p>
            <w:r>
              <w:rPr>
                <w:b w:val="false"/>
                <w:bCs w:val="false"/>
                <w:color w:val="222222"/>
                <w:sz w:val="19"/>
                <w:szCs w:val="19"/>
              </w:rPr>
              <w:t xml:space="preserve">Could</w:t>
            </w:r>
          </w:p>
        </w:tc>
      </w:tr>
    </w:tbl>
    <w:p>
      <w:pPr>
        <w:pStyle w:val="Heading2"/>
        <w:spacing w:after="150" w:before="300"/>
      </w:pPr>
      <w:r>
        <w:rPr>
          <w:b/>
          <w:bCs/>
          <w:color w:val="1F3A5F"/>
          <w:sz w:val="24"/>
          <w:szCs w:val="24"/>
        </w:rPr>
        <w:t xml:space="preserve">5.7 Issuer-Ready: Multi-Department Coordination Workflow (the plan's core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1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Matter/indicator assignment</w:t>
            </w:r>
          </w:p>
        </w:tc>
        <w:tc>
          <w:tcPr>
            <w:tcW w:type="dxa" w:w="0"/>
            <w:shd w:fill="FFFFFF" w:val="clear"/>
            <w:tcMar>
              <w:top w:type="dxa" w:w="80"/>
              <w:left w:type="dxa" w:w="100"/>
              <w:bottom w:type="dxa" w:w="80"/>
              <w:right w:type="dxa" w:w="100"/>
            </w:tcMar>
          </w:tcPr>
          <w:p>
            <w:r>
              <w:rPr>
                <w:b w:val="false"/>
                <w:bCs w:val="false"/>
                <w:color w:val="222222"/>
                <w:sz w:val="19"/>
                <w:szCs w:val="19"/>
              </w:rPr>
              <w:t xml:space="preserve">Assign each sustainability matter, or individual indicator, to a named departmental contributor (HR, EHS, finance, ops, etc.)</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Contributor status tracking</w:t>
            </w:r>
          </w:p>
        </w:tc>
        <w:tc>
          <w:tcPr>
            <w:tcW w:type="dxa" w:w="0"/>
            <w:shd w:fill="FFFFFF" w:val="clear"/>
            <w:tcMar>
              <w:top w:type="dxa" w:w="80"/>
              <w:left w:type="dxa" w:w="100"/>
              <w:bottom w:type="dxa" w:w="80"/>
              <w:right w:type="dxa" w:w="100"/>
            </w:tcMar>
          </w:tcPr>
          <w:p>
            <w:r>
              <w:rPr>
                <w:b w:val="false"/>
                <w:bCs w:val="false"/>
                <w:color w:val="222222"/>
                <w:sz w:val="19"/>
                <w:szCs w:val="19"/>
              </w:rPr>
              <w:t xml:space="preserve">A single view showing submission status per contributor per matter: Not Started / In Progress / Submitted / Reviewed</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Automated reminders</w:t>
            </w:r>
          </w:p>
        </w:tc>
        <w:tc>
          <w:tcPr>
            <w:tcW w:type="dxa" w:w="0"/>
            <w:shd w:fill="FFFFFF" w:val="clear"/>
            <w:tcMar>
              <w:top w:type="dxa" w:w="80"/>
              <w:left w:type="dxa" w:w="100"/>
              <w:bottom w:type="dxa" w:w="80"/>
              <w:right w:type="dxa" w:w="100"/>
            </w:tcMar>
          </w:tcPr>
          <w:p>
            <w:r>
              <w:rPr>
                <w:b w:val="false"/>
                <w:bCs w:val="false"/>
                <w:color w:val="222222"/>
                <w:sz w:val="19"/>
                <w:szCs w:val="19"/>
              </w:rPr>
              <w:t xml:space="preserve">Scheduled reminder notifications (email) to contributors with outstanding items ahead of a set internal deadline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Contributor-scoped access</w:t>
            </w:r>
          </w:p>
        </w:tc>
        <w:tc>
          <w:tcPr>
            <w:tcW w:type="dxa" w:w="0"/>
            <w:shd w:fill="FFFFFF" w:val="clear"/>
            <w:tcMar>
              <w:top w:type="dxa" w:w="80"/>
              <w:left w:type="dxa" w:w="100"/>
              <w:bottom w:type="dxa" w:w="80"/>
              <w:right w:type="dxa" w:w="100"/>
            </w:tcMar>
          </w:tcPr>
          <w:p>
            <w:r>
              <w:rPr>
                <w:b w:val="false"/>
                <w:bCs w:val="false"/>
                <w:color w:val="222222"/>
                <w:sz w:val="19"/>
                <w:szCs w:val="19"/>
              </w:rPr>
              <w:t xml:space="preserve">Each contributor sees and edits only their assigned matters/indicators, not the full company disclosure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Coordinator dashboard</w:t>
            </w:r>
          </w:p>
        </w:tc>
        <w:tc>
          <w:tcPr>
            <w:tcW w:type="dxa" w:w="0"/>
            <w:shd w:fill="FFFFFF" w:val="clear"/>
            <w:tcMar>
              <w:top w:type="dxa" w:w="80"/>
              <w:left w:type="dxa" w:w="100"/>
              <w:bottom w:type="dxa" w:w="80"/>
              <w:right w:type="dxa" w:w="100"/>
            </w:tcMar>
          </w:tcPr>
          <w:p>
            <w:r>
              <w:rPr>
                <w:b w:val="false"/>
                <w:bCs w:val="false"/>
                <w:color w:val="222222"/>
                <w:sz w:val="19"/>
                <w:szCs w:val="19"/>
              </w:rPr>
              <w:t xml:space="preserve">The Issuer Admin's single view of overall readiness: % complete by department, overdue items flagged</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Market-aware matter checklist</w:t>
            </w:r>
          </w:p>
        </w:tc>
        <w:tc>
          <w:tcPr>
            <w:tcW w:type="dxa" w:w="0"/>
            <w:shd w:fill="FFFFFF" w:val="clear"/>
            <w:tcMar>
              <w:top w:type="dxa" w:w="80"/>
              <w:left w:type="dxa" w:w="100"/>
              <w:bottom w:type="dxa" w:w="80"/>
              <w:right w:type="dxa" w:w="100"/>
            </w:tcMar>
          </w:tcPr>
          <w:p>
            <w:r>
              <w:rPr>
                <w:b w:val="false"/>
                <w:bCs w:val="false"/>
                <w:color w:val="222222"/>
                <w:sz w:val="19"/>
                <w:szCs w:val="19"/>
              </w:rPr>
              <w:t xml:space="preserve">Auto-applies the 9-matter (Main Market) or 11-matter (ACE Market) checklist as the internal data-collection structure — used as an organising checklist, not a compliance calculation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bl>
    <w:p>
      <w:pPr>
        <w:pStyle w:val="Heading2"/>
        <w:spacing w:after="150" w:before="300"/>
      </w:pPr>
      <w:r>
        <w:rPr>
          <w:b/>
          <w:bCs/>
          <w:color w:val="1F3A5F"/>
          <w:sz w:val="24"/>
          <w:szCs w:val="24"/>
        </w:rPr>
        <w:t xml:space="preserve">5.8 Issuer-Ready: Assurance-Readiness &amp; CSI-Prep Export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5100"/>
        <w:gridCol w:w="15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Feature</w:t>
            </w:r>
          </w:p>
        </w:tc>
        <w:tc>
          <w:tcPr>
            <w:tcW w:type="dxa" w:w="0"/>
            <w:shd w:fill="1F3A5F" w:val="clear"/>
            <w:tcMar>
              <w:top w:type="dxa" w:w="80"/>
              <w:left w:type="dxa" w:w="100"/>
              <w:bottom w:type="dxa" w:w="80"/>
              <w:right w:type="dxa" w:w="100"/>
            </w:tcMar>
          </w:tcPr>
          <w:p>
            <w:r>
              <w:rPr>
                <w:b/>
                <w:bCs/>
                <w:color w:val="FFFFFF"/>
                <w:sz w:val="19"/>
                <w:szCs w:val="19"/>
              </w:rPr>
              <w:t xml:space="preserve">Description</w:t>
            </w:r>
          </w:p>
        </w:tc>
        <w:tc>
          <w:tcPr>
            <w:tcW w:type="dxa" w:w="0"/>
            <w:shd w:fill="1F3A5F" w:val="clear"/>
            <w:tcMar>
              <w:top w:type="dxa" w:w="80"/>
              <w:left w:type="dxa" w:w="100"/>
              <w:bottom w:type="dxa" w:w="80"/>
              <w:right w:type="dxa" w:w="100"/>
            </w:tcMar>
          </w:tcPr>
          <w:p>
            <w:r>
              <w:rPr>
                <w:b/>
                <w:bCs/>
                <w:color w:val="FFFFFF"/>
                <w:sz w:val="19"/>
                <w:szCs w:val="19"/>
              </w:rPr>
              <w:t xml:space="preserve">Priority</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Assurance-readiness workspace</w:t>
            </w:r>
          </w:p>
        </w:tc>
        <w:tc>
          <w:tcPr>
            <w:tcW w:type="dxa" w:w="0"/>
            <w:shd w:fill="FFFFFF" w:val="clear"/>
            <w:tcMar>
              <w:top w:type="dxa" w:w="80"/>
              <w:left w:type="dxa" w:w="100"/>
              <w:bottom w:type="dxa" w:w="80"/>
              <w:right w:type="dxa" w:w="100"/>
            </w:tcMar>
          </w:tcPr>
          <w:p>
            <w:r>
              <w:rPr>
                <w:b w:val="false"/>
                <w:bCs w:val="false"/>
                <w:color w:val="222222"/>
                <w:sz w:val="19"/>
                <w:szCs w:val="19"/>
              </w:rPr>
              <w:t xml:space="preserve">Internal review sign-off, full audit trail per indicator, supporting-document attachments — prepares the company for external assurance without performing it</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CSI-structure 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A checklist-style export organised to match what CSI will ask for, so the person doing final CSI entry can work from an assembled, validated list rather than hunting across departments. Explicitly does not calculate, submit, or connect to CSI directly.</w:t>
            </w:r>
          </w:p>
        </w:tc>
        <w:tc>
          <w:tcPr>
            <w:tcW w:type="dxa" w:w="0"/>
            <w:shd w:fill="FFFFFF" w:val="clear"/>
            <w:tcMar>
              <w:top w:type="dxa" w:w="80"/>
              <w:left w:type="dxa" w:w="100"/>
              <w:bottom w:type="dxa" w:w="80"/>
              <w:right w:type="dxa" w:w="100"/>
            </w:tcMar>
          </w:tcPr>
          <w:p>
            <w:r>
              <w:rPr>
                <w:b w:val="false"/>
                <w:bCs w:val="false"/>
                <w:color w:val="222222"/>
                <w:sz w:val="19"/>
                <w:szCs w:val="19"/>
              </w:rPr>
              <w:t xml:space="preserve">Must</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Multi-sector indicator library</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Bursa sector classification coverage as an organising structure, not limited to one pilot sector</w:t>
            </w:r>
          </w:p>
        </w:tc>
        <w:tc>
          <w:tcPr>
            <w:tcW w:type="dxa" w:w="0"/>
            <w:shd w:fill="FFFFFF" w:val="clear"/>
            <w:tcMar>
              <w:top w:type="dxa" w:w="80"/>
              <w:left w:type="dxa" w:w="100"/>
              <w:bottom w:type="dxa" w:w="80"/>
              <w:right w:type="dxa" w:w="100"/>
            </w:tcMar>
          </w:tcPr>
          <w:p>
            <w:r>
              <w:rPr>
                <w:b w:val="false"/>
                <w:bCs w:val="false"/>
                <w:color w:val="222222"/>
                <w:sz w:val="19"/>
                <w:szCs w:val="19"/>
              </w:rPr>
              <w:t xml:space="preserve">Should</w:t>
            </w:r>
          </w:p>
        </w:tc>
      </w:tr>
    </w:tbl>
    <w:p>
      <w:pPr>
        <w:pStyle w:val="Heading1"/>
        <w:spacing w:after="200" w:before="400"/>
      </w:pPr>
      <w:r>
        <w:rPr>
          <w:b/>
          <w:bCs/>
          <w:color w:val="1F3A5F"/>
          <w:sz w:val="30"/>
          <w:szCs w:val="30"/>
        </w:rPr>
        <w:t xml:space="preserve">6. Pricing Tiers (proposed)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3200"/>
        <w:gridCol w:w="1700"/>
      </w:tblGrid>
      <w:tr>
        <w:trPr>
          <w:tblHeader/>
        </w:trPr>
        <w:tc>
          <w:tcPr>
            <w:tcW w:type="dxa" w:w="0"/>
            <w:shd w:fill="1F3A5F" w:val="clear"/>
            <w:tcMar>
              <w:top w:type="dxa" w:w="80"/>
              <w:left w:type="dxa" w:w="100"/>
              <w:bottom w:type="dxa" w:w="80"/>
              <w:right w:type="dxa" w:w="100"/>
            </w:tcMar>
          </w:tcPr>
          <w:p>
            <w:r>
              <w:rPr>
                <w:b/>
                <w:bCs/>
                <w:color w:val="FFFFFF"/>
                <w:sz w:val="19"/>
                <w:szCs w:val="19"/>
              </w:rPr>
              <w:t xml:space="preserve">Plan</w:t>
            </w:r>
          </w:p>
        </w:tc>
        <w:tc>
          <w:tcPr>
            <w:tcW w:type="dxa" w:w="0"/>
            <w:shd w:fill="1F3A5F" w:val="clear"/>
            <w:tcMar>
              <w:top w:type="dxa" w:w="80"/>
              <w:left w:type="dxa" w:w="100"/>
              <w:bottom w:type="dxa" w:w="80"/>
              <w:right w:type="dxa" w:w="100"/>
            </w:tcMar>
          </w:tcPr>
          <w:p>
            <w:r>
              <w:rPr>
                <w:b/>
                <w:bCs/>
                <w:color w:val="FFFFFF"/>
                <w:sz w:val="19"/>
                <w:szCs w:val="19"/>
              </w:rPr>
              <w:t xml:space="preserve">Target Customer</w:t>
            </w:r>
          </w:p>
        </w:tc>
        <w:tc>
          <w:tcPr>
            <w:tcW w:type="dxa" w:w="0"/>
            <w:shd w:fill="1F3A5F" w:val="clear"/>
            <w:tcMar>
              <w:top w:type="dxa" w:w="80"/>
              <w:left w:type="dxa" w:w="100"/>
              <w:bottom w:type="dxa" w:w="80"/>
              <w:right w:type="dxa" w:w="100"/>
            </w:tcMar>
          </w:tcPr>
          <w:p>
            <w:r>
              <w:rPr>
                <w:b/>
                <w:bCs/>
                <w:color w:val="FFFFFF"/>
                <w:sz w:val="19"/>
                <w:szCs w:val="19"/>
              </w:rPr>
              <w:t xml:space="preserve">Coverage</w:t>
            </w:r>
          </w:p>
        </w:tc>
        <w:tc>
          <w:tcPr>
            <w:tcW w:type="dxa" w:w="0"/>
            <w:shd w:fill="1F3A5F" w:val="clear"/>
            <w:tcMar>
              <w:top w:type="dxa" w:w="80"/>
              <w:left w:type="dxa" w:w="100"/>
              <w:bottom w:type="dxa" w:w="80"/>
              <w:right w:type="dxa" w:w="100"/>
            </w:tcMar>
          </w:tcPr>
          <w:p>
            <w:r>
              <w:rPr>
                <w:b/>
                <w:bCs/>
                <w:color w:val="FFFFFF"/>
                <w:sz w:val="19"/>
                <w:szCs w:val="19"/>
              </w:rPr>
              <w:t xml:space="preserve">Target Price (RM/month, indicative)</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Starter</w:t>
            </w:r>
          </w:p>
        </w:tc>
        <w:tc>
          <w:tcPr>
            <w:tcW w:type="dxa" w:w="0"/>
            <w:shd w:fill="FFFFFF" w:val="clear"/>
            <w:tcMar>
              <w:top w:type="dxa" w:w="80"/>
              <w:left w:type="dxa" w:w="100"/>
              <w:bottom w:type="dxa" w:w="80"/>
              <w:right w:type="dxa" w:w="100"/>
            </w:tcMar>
          </w:tcPr>
          <w:p>
            <w:r>
              <w:rPr>
                <w:b w:val="false"/>
                <w:bCs w:val="false"/>
                <w:color w:val="222222"/>
                <w:sz w:val="19"/>
                <w:szCs w:val="19"/>
              </w:rPr>
              <w:t xml:space="preserve">SME, first-time voluntary disclosure</w:t>
            </w:r>
          </w:p>
        </w:tc>
        <w:tc>
          <w:tcPr>
            <w:tcW w:type="dxa" w:w="0"/>
            <w:shd w:fill="FFFFFF" w:val="clear"/>
            <w:tcMar>
              <w:top w:type="dxa" w:w="80"/>
              <w:left w:type="dxa" w:w="100"/>
              <w:bottom w:type="dxa" w:w="80"/>
              <w:right w:type="dxa" w:w="100"/>
            </w:tcMar>
          </w:tcPr>
          <w:p>
            <w:r>
              <w:rPr>
                <w:b w:val="false"/>
                <w:bCs w:val="false"/>
                <w:color w:val="222222"/>
                <w:sz w:val="19"/>
                <w:szCs w:val="19"/>
              </w:rPr>
              <w:t xml:space="preserve">SEDG Basic tier, guided materiality, single-year data</w:t>
            </w:r>
          </w:p>
        </w:tc>
        <w:tc>
          <w:tcPr>
            <w:tcW w:type="dxa" w:w="0"/>
            <w:shd w:fill="FFFFFF" w:val="clear"/>
            <w:tcMar>
              <w:top w:type="dxa" w:w="80"/>
              <w:left w:type="dxa" w:w="100"/>
              <w:bottom w:type="dxa" w:w="80"/>
              <w:right w:type="dxa" w:w="100"/>
            </w:tcMar>
          </w:tcPr>
          <w:p>
            <w:r>
              <w:rPr>
                <w:b w:val="false"/>
                <w:bCs w:val="false"/>
                <w:color w:val="222222"/>
                <w:sz w:val="19"/>
                <w:szCs w:val="19"/>
              </w:rPr>
              <w:t xml:space="preserve">99–199</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Growth</w:t>
            </w:r>
          </w:p>
        </w:tc>
        <w:tc>
          <w:tcPr>
            <w:tcW w:type="dxa" w:w="0"/>
            <w:shd w:fill="FFFFFF" w:val="clear"/>
            <w:tcMar>
              <w:top w:type="dxa" w:w="80"/>
              <w:left w:type="dxa" w:w="100"/>
              <w:bottom w:type="dxa" w:w="80"/>
              <w:right w:type="dxa" w:w="100"/>
            </w:tcMar>
          </w:tcPr>
          <w:p>
            <w:r>
              <w:rPr>
                <w:b w:val="false"/>
                <w:bCs w:val="false"/>
                <w:color w:val="222222"/>
                <w:sz w:val="19"/>
                <w:szCs w:val="19"/>
              </w:rPr>
              <w:t xml:space="preserve">SME with recurring buyer/bank requests</w:t>
            </w:r>
          </w:p>
        </w:tc>
        <w:tc>
          <w:tcPr>
            <w:tcW w:type="dxa" w:w="0"/>
            <w:shd w:fill="FFFFFF" w:val="clear"/>
            <w:tcMar>
              <w:top w:type="dxa" w:w="80"/>
              <w:left w:type="dxa" w:w="100"/>
              <w:bottom w:type="dxa" w:w="80"/>
              <w:right w:type="dxa" w:w="100"/>
            </w:tcMar>
          </w:tcPr>
          <w:p>
            <w:r>
              <w:rPr>
                <w:b w:val="false"/>
                <w:bCs w:val="false"/>
                <w:color w:val="222222"/>
                <w:sz w:val="19"/>
                <w:szCs w:val="19"/>
              </w:rPr>
              <w:t xml:space="preserve">Full SEDG (35 disclosures), 3-year tracking, governance, 1 sector module</w:t>
            </w:r>
          </w:p>
        </w:tc>
        <w:tc>
          <w:tcPr>
            <w:tcW w:type="dxa" w:w="0"/>
            <w:shd w:fill="FFFFFF" w:val="clear"/>
            <w:tcMar>
              <w:top w:type="dxa" w:w="80"/>
              <w:left w:type="dxa" w:w="100"/>
              <w:bottom w:type="dxa" w:w="80"/>
              <w:right w:type="dxa" w:w="100"/>
            </w:tcMar>
          </w:tcPr>
          <w:p>
            <w:r>
              <w:rPr>
                <w:b w:val="false"/>
                <w:bCs w:val="false"/>
                <w:color w:val="222222"/>
                <w:sz w:val="19"/>
                <w:szCs w:val="19"/>
              </w:rPr>
              <w:t xml:space="preserve">299–399</w:t>
            </w:r>
          </w:p>
        </w:tc>
      </w:tr>
      <w:tr>
        <w:tc>
          <w:tcPr>
            <w:tcW w:type="dxa" w:w="0"/>
            <w:shd w:fill="FFFFFF" w:val="clear"/>
            <w:tcMar>
              <w:top w:type="dxa" w:w="80"/>
              <w:left w:type="dxa" w:w="100"/>
              <w:bottom w:type="dxa" w:w="80"/>
              <w:right w:type="dxa" w:w="100"/>
            </w:tcMar>
          </w:tcPr>
          <w:p>
            <w:r>
              <w:rPr>
                <w:b w:val="false"/>
                <w:bCs w:val="false"/>
                <w:color w:val="222222"/>
                <w:sz w:val="19"/>
                <w:szCs w:val="19"/>
              </w:rPr>
              <w:t xml:space="preserve">Issuer-Ready</w:t>
            </w:r>
          </w:p>
        </w:tc>
        <w:tc>
          <w:tcPr>
            <w:tcW w:type="dxa" w:w="0"/>
            <w:shd w:fill="FFFFFF" w:val="clear"/>
            <w:tcMar>
              <w:top w:type="dxa" w:w="80"/>
              <w:left w:type="dxa" w:w="100"/>
              <w:bottom w:type="dxa" w:w="80"/>
              <w:right w:type="dxa" w:w="100"/>
            </w:tcMar>
          </w:tcPr>
          <w:p>
            <w:r>
              <w:rPr>
                <w:b w:val="false"/>
                <w:bCs w:val="false"/>
                <w:color w:val="222222"/>
                <w:sz w:val="19"/>
                <w:szCs w:val="19"/>
              </w:rPr>
              <w:t xml:space="preserve">Main/ACE Market issuers needing internal CSI-prep coordination</w:t>
            </w:r>
          </w:p>
        </w:tc>
        <w:tc>
          <w:tcPr>
            <w:tcW w:type="dxa" w:w="0"/>
            <w:shd w:fill="FFFFFF" w:val="clear"/>
            <w:tcMar>
              <w:top w:type="dxa" w:w="80"/>
              <w:left w:type="dxa" w:w="100"/>
              <w:bottom w:type="dxa" w:w="80"/>
              <w:right w:type="dxa" w:w="100"/>
            </w:tcMar>
          </w:tcPr>
          <w:p>
            <w:r>
              <w:rPr>
                <w:b w:val="false"/>
                <w:bCs w:val="false"/>
                <w:color w:val="222222"/>
                <w:sz w:val="19"/>
                <w:szCs w:val="19"/>
              </w:rPr>
              <w:t xml:space="preserve">Multi-department workflow, monthly tracking, materiality/governance, audit trail, CSI-structure export</w:t>
            </w:r>
          </w:p>
        </w:tc>
        <w:tc>
          <w:tcPr>
            <w:tcW w:type="dxa" w:w="0"/>
            <w:shd w:fill="FFFFFF" w:val="clear"/>
            <w:tcMar>
              <w:top w:type="dxa" w:w="80"/>
              <w:left w:type="dxa" w:w="100"/>
              <w:bottom w:type="dxa" w:w="80"/>
              <w:right w:type="dxa" w:w="100"/>
            </w:tcMar>
          </w:tcPr>
          <w:p>
            <w:r>
              <w:rPr>
                <w:b w:val="false"/>
                <w:bCs w:val="false"/>
                <w:color w:val="222222"/>
                <w:sz w:val="19"/>
                <w:szCs w:val="19"/>
              </w:rPr>
              <w:t xml:space="preserve">800–2,000, Contact Sales</w:t>
            </w:r>
          </w:p>
        </w:tc>
      </w:tr>
    </w:tbl>
    <w:p>
      <w:pPr>
        <w:spacing w:after="160" w:line="276"/>
      </w:pPr>
      <w:r>
        <w:rPr>
          <w:color w:val="222222"/>
          <w:sz w:val="21"/>
          <w:szCs w:val="21"/>
        </w:rPr>
        <w:t xml:space="preserve">Issuer-Ready pricing is revised downward from the original 1,500-4,000+ range now that the plan's scope excludes calculation/compliance tooling and is explicitly a coordination layer — validate directly with 1-2 design-partner issuers before finalising, and be prepared for this to land lower still if the coordination-only value prop doesn't clear an issuer's procurement bar at enterprise-software pricing. Starter/Growth pricing should be validated per the BRD's success metrics gate.</w:t>
      </w:r>
    </w:p>
    <w:p>
      <w:pPr>
        <w:pStyle w:val="Heading1"/>
        <w:spacing w:after="200" w:before="400"/>
      </w:pPr>
      <w:r>
        <w:rPr>
          <w:b/>
          <w:bCs/>
          <w:color w:val="1F3A5F"/>
          <w:sz w:val="30"/>
          <w:szCs w:val="30"/>
        </w:rPr>
        <w:t xml:space="preserve">7. Release Plan</w:t>
      </w:r>
    </w:p>
    <w:p>
      <w:pPr>
        <w:pStyle w:val="Heading3"/>
        <w:spacing w:after="100" w:before="200"/>
      </w:pPr>
      <w:r>
        <w:rPr>
          <w:b/>
          <w:bCs/>
          <w:color w:val="2E7D5B"/>
          <w:sz w:val="21"/>
          <w:szCs w:val="21"/>
        </w:rPr>
        <w:t xml:space="preserve">Phase 1 — Starter MVP (Months 1–4, solo build)</w:t>
      </w:r>
    </w:p>
    <w:p>
      <w:pPr>
        <w:pStyle w:val="ListParagraph"/>
        <w:numPr>
          <w:ilvl w:val="0"/>
          <w:numId w:val="2"/>
        </w:numPr>
        <w:spacing w:after="80" w:line="270"/>
      </w:pPr>
      <w:r>
        <w:rPr>
          <w:color w:val="222222"/>
          <w:sz w:val="21"/>
          <w:szCs w:val="21"/>
        </w:rPr>
        <w:t xml:space="preserve">Company setup, materiality assessment, SEDG Basic-tier indicator forms, basic export.</w:t>
      </w:r>
    </w:p>
    <w:p>
      <w:pPr>
        <w:pStyle w:val="ListParagraph"/>
        <w:numPr>
          <w:ilvl w:val="0"/>
          <w:numId w:val="2"/>
        </w:numPr>
        <w:spacing w:after="80" w:line="270"/>
      </w:pPr>
      <w:r>
        <w:rPr>
          <w:color w:val="222222"/>
          <w:sz w:val="21"/>
          <w:szCs w:val="21"/>
        </w:rPr>
        <w:t xml:space="preserve">Target: 3–5 pilot SME customers, free or heavily discounted, in exchange for feedback.</w:t>
      </w:r>
    </w:p>
    <w:p>
      <w:pPr>
        <w:pStyle w:val="Heading3"/>
        <w:spacing w:after="100" w:before="200"/>
      </w:pPr>
      <w:r>
        <w:rPr>
          <w:b/>
          <w:bCs/>
          <w:color w:val="2E7D5B"/>
          <w:sz w:val="21"/>
          <w:szCs w:val="21"/>
        </w:rPr>
        <w:t xml:space="preserve">Phase 2 — Growth Plan &amp; Paid Launch (Months 5–8)</w:t>
      </w:r>
    </w:p>
    <w:p>
      <w:pPr>
        <w:pStyle w:val="ListParagraph"/>
        <w:numPr>
          <w:ilvl w:val="0"/>
          <w:numId w:val="2"/>
        </w:numPr>
        <w:spacing w:after="80" w:line="270"/>
      </w:pPr>
      <w:r>
        <w:rPr>
          <w:color w:val="222222"/>
          <w:sz w:val="21"/>
          <w:szCs w:val="21"/>
        </w:rPr>
        <w:t xml:space="preserve">Full SEDG indicator set, multi-year tracking, target-setting, governance module, tiered billing.</w:t>
      </w:r>
    </w:p>
    <w:p>
      <w:pPr>
        <w:pStyle w:val="ListParagraph"/>
        <w:numPr>
          <w:ilvl w:val="0"/>
          <w:numId w:val="2"/>
        </w:numPr>
        <w:spacing w:after="80" w:line="270"/>
      </w:pPr>
      <w:r>
        <w:rPr>
          <w:color w:val="222222"/>
          <w:sz w:val="21"/>
          <w:szCs w:val="21"/>
        </w:rPr>
        <w:t xml:space="preserve">Target: convert pilots to paying customers; onboard first cohort at list price.</w:t>
      </w:r>
    </w:p>
    <w:p>
      <w:pPr>
        <w:pStyle w:val="Heading3"/>
        <w:spacing w:after="100" w:before="200"/>
      </w:pPr>
      <w:r>
        <w:rPr>
          <w:b/>
          <w:bCs/>
          <w:color w:val="2E7D5B"/>
          <w:sz w:val="21"/>
          <w:szCs w:val="21"/>
        </w:rPr>
        <w:t xml:space="preserve">Phase 3 — SME Expansion (Months 9–14)</w:t>
      </w:r>
    </w:p>
    <w:p>
      <w:pPr>
        <w:pStyle w:val="ListParagraph"/>
        <w:numPr>
          <w:ilvl w:val="0"/>
          <w:numId w:val="2"/>
        </w:numPr>
        <w:spacing w:after="80" w:line="270"/>
      </w:pPr>
      <w:r>
        <w:rPr>
          <w:color w:val="222222"/>
          <w:sz w:val="21"/>
          <w:szCs w:val="21"/>
        </w:rPr>
        <w:t xml:space="preserve">Pilot sector-specific indicator module, audit trail, consultant multi-client view.</w:t>
      </w:r>
    </w:p>
    <w:p>
      <w:pPr>
        <w:pStyle w:val="ListParagraph"/>
        <w:numPr>
          <w:ilvl w:val="0"/>
          <w:numId w:val="2"/>
        </w:numPr>
        <w:spacing w:after="80" w:line="270"/>
      </w:pPr>
      <w:r>
        <w:rPr>
          <w:color w:val="222222"/>
          <w:sz w:val="21"/>
          <w:szCs w:val="21"/>
        </w:rPr>
        <w:t xml:space="preserve">Target: 20–50 paying SME customers (Year 2 scenario).</w:t>
      </w:r>
    </w:p>
    <w:p>
      <w:pPr>
        <w:pStyle w:val="Heading3"/>
        <w:spacing w:after="100" w:before="200"/>
      </w:pPr>
      <w:r>
        <w:rPr>
          <w:b/>
          <w:bCs/>
          <w:color w:val="2E7D5B"/>
          <w:sz w:val="21"/>
          <w:szCs w:val="21"/>
        </w:rPr>
        <w:t xml:space="preserve">Phase 4 — Issuer-Ready Discovery (gated, before any build)</w:t>
      </w:r>
    </w:p>
    <w:p>
      <w:pPr>
        <w:pStyle w:val="ListParagraph"/>
        <w:numPr>
          <w:ilvl w:val="0"/>
          <w:numId w:val="2"/>
        </w:numPr>
        <w:spacing w:after="80" w:line="270"/>
      </w:pPr>
      <w:r>
        <w:rPr>
          <w:color w:val="222222"/>
          <w:sz w:val="21"/>
          <w:szCs w:val="21"/>
        </w:rPr>
        <w:t xml:space="preserve">Before writing code: validate the coordination-pain hypothesis directly with 1-2 candidate issuer sustainability managers. Confirm they genuinely lack an internal system today (not just assume it from outside), and that they'd value a coordination tool enough to pay for it, separate from CSI.</w:t>
      </w:r>
    </w:p>
    <w:p>
      <w:pPr>
        <w:pStyle w:val="ListParagraph"/>
        <w:numPr>
          <w:ilvl w:val="0"/>
          <w:numId w:val="2"/>
        </w:numPr>
        <w:spacing w:after="80" w:line="270"/>
      </w:pPr>
      <w:r>
        <w:rPr>
          <w:color w:val="222222"/>
          <w:sz w:val="21"/>
          <w:szCs w:val="21"/>
        </w:rPr>
        <w:t xml:space="preserve">Do not proceed to build if discovery shows issuers already solve this adequately with generic tools (e.g. a shared spreadsheet or existing project-management software) — that would mean the wedge isn't there.</w:t>
      </w:r>
    </w:p>
    <w:p>
      <w:pPr>
        <w:pStyle w:val="Heading3"/>
        <w:spacing w:after="100" w:before="200"/>
      </w:pPr>
      <w:r>
        <w:rPr>
          <w:b/>
          <w:bCs/>
          <w:color w:val="2E7D5B"/>
          <w:sz w:val="21"/>
          <w:szCs w:val="21"/>
        </w:rPr>
        <w:t xml:space="preserve">Phase 5 — Issuer-Ready Build (only if Phase 4 validates)</w:t>
      </w:r>
    </w:p>
    <w:p>
      <w:pPr>
        <w:pStyle w:val="ListParagraph"/>
        <w:numPr>
          <w:ilvl w:val="0"/>
          <w:numId w:val="2"/>
        </w:numPr>
        <w:spacing w:after="80" w:line="270"/>
      </w:pPr>
      <w:r>
        <w:rPr>
          <w:color w:val="222222"/>
          <w:sz w:val="21"/>
          <w:szCs w:val="21"/>
        </w:rPr>
        <w:t xml:space="preserve">Multi-department coordination workflow, monthly tracking, materiality/governance for issuers, assurance-readiness workspace, CSI-structure export.</w:t>
      </w:r>
    </w:p>
    <w:p>
      <w:pPr>
        <w:pStyle w:val="ListParagraph"/>
        <w:numPr>
          <w:ilvl w:val="0"/>
          <w:numId w:val="2"/>
        </w:numPr>
        <w:spacing w:after="80" w:line="270"/>
      </w:pPr>
      <w:r>
        <w:rPr>
          <w:color w:val="222222"/>
          <w:sz w:val="21"/>
          <w:szCs w:val="21"/>
        </w:rPr>
        <w:t xml:space="preserve">This phase should not start until either SME revenue funds it, or a design-partner issuer is secured and discovery is positive — mis-sequencing this risks repeating the multi-project focus problem from prior ventures, now compounded by a narrower value prop than originally assumed.</w:t>
      </w:r>
    </w:p>
    <w:p>
      <w:pPr>
        <w:pStyle w:val="Heading1"/>
        <w:spacing w:after="200" w:before="400"/>
      </w:pPr>
      <w:r>
        <w:rPr>
          <w:b/>
          <w:bCs/>
          <w:color w:val="1F3A5F"/>
          <w:sz w:val="30"/>
          <w:szCs w:val="30"/>
        </w:rPr>
        <w:t xml:space="preserve">8. Success Metrics / KPIs</w:t>
      </w:r>
    </w:p>
    <w:p>
      <w:pPr>
        <w:pStyle w:val="ListParagraph"/>
        <w:numPr>
          <w:ilvl w:val="0"/>
          <w:numId w:val="2"/>
        </w:numPr>
        <w:spacing w:after="80" w:line="270"/>
      </w:pPr>
      <w:r>
        <w:rPr>
          <w:color w:val="222222"/>
          <w:sz w:val="21"/>
          <w:szCs w:val="21"/>
        </w:rPr>
        <w:t xml:space="preserve">Activation: % of signups completing materiality assessment within 7 days.</w:t>
      </w:r>
    </w:p>
    <w:p>
      <w:pPr>
        <w:pStyle w:val="ListParagraph"/>
        <w:numPr>
          <w:ilvl w:val="0"/>
          <w:numId w:val="2"/>
        </w:numPr>
        <w:spacing w:after="80" w:line="270"/>
      </w:pPr>
      <w:r>
        <w:rPr>
          <w:color w:val="222222"/>
          <w:sz w:val="21"/>
          <w:szCs w:val="21"/>
        </w:rPr>
        <w:t xml:space="preserve">Time-to-first-disclosure: median hours from signup to first completed export.</w:t>
      </w:r>
    </w:p>
    <w:p>
      <w:pPr>
        <w:pStyle w:val="ListParagraph"/>
        <w:numPr>
          <w:ilvl w:val="0"/>
          <w:numId w:val="2"/>
        </w:numPr>
        <w:spacing w:after="80" w:line="270"/>
      </w:pPr>
      <w:r>
        <w:rPr>
          <w:color w:val="222222"/>
          <w:sz w:val="21"/>
          <w:szCs w:val="21"/>
        </w:rPr>
        <w:t xml:space="preserve">Paid conversion rate from pilot to paying tier.</w:t>
      </w:r>
    </w:p>
    <w:p>
      <w:pPr>
        <w:pStyle w:val="ListParagraph"/>
        <w:numPr>
          <w:ilvl w:val="0"/>
          <w:numId w:val="2"/>
        </w:numPr>
        <w:spacing w:after="80" w:line="270"/>
      </w:pPr>
      <w:r>
        <w:rPr>
          <w:color w:val="222222"/>
          <w:sz w:val="21"/>
          <w:szCs w:val="21"/>
        </w:rPr>
        <w:t xml:space="preserve">Net revenue retention at 12 months.</w:t>
      </w:r>
    </w:p>
    <w:p>
      <w:pPr>
        <w:pStyle w:val="ListParagraph"/>
        <w:numPr>
          <w:ilvl w:val="0"/>
          <w:numId w:val="2"/>
        </w:numPr>
        <w:spacing w:after="80" w:line="270"/>
      </w:pPr>
      <w:r>
        <w:rPr>
          <w:color w:val="222222"/>
          <w:sz w:val="21"/>
          <w:szCs w:val="21"/>
        </w:rPr>
        <w:t xml:space="preserve">Customer count and revenue vs. the Year 1/2/3 scenarios previously modelled.</w:t>
      </w:r>
    </w:p>
    <w:p>
      <w:pPr>
        <w:pStyle w:val="ListParagraph"/>
        <w:numPr>
          <w:ilvl w:val="0"/>
          <w:numId w:val="2"/>
        </w:numPr>
        <w:spacing w:after="80" w:line="270"/>
      </w:pPr>
      <w:r>
        <w:rPr>
          <w:color w:val="222222"/>
          <w:sz w:val="21"/>
          <w:szCs w:val="21"/>
        </w:rPr>
        <w:t xml:space="preserve">Issuer-Ready specifically: measured reduction in a design-partner issuer's internal CSI-prep time (self-reported before/after), tracked before any further Issuer-Ready investment.</w:t>
      </w:r>
    </w:p>
    <w:p>
      <w:pPr>
        <w:pStyle w:val="Heading1"/>
        <w:spacing w:after="200" w:before="400"/>
      </w:pPr>
      <w:r>
        <w:rPr>
          <w:b/>
          <w:bCs/>
          <w:color w:val="1F3A5F"/>
          <w:sz w:val="30"/>
          <w:szCs w:val="30"/>
        </w:rPr>
        <w:t xml:space="preserve">9. Open Questions</w:t>
      </w:r>
    </w:p>
    <w:p>
      <w:pPr>
        <w:pStyle w:val="ListParagraph"/>
        <w:numPr>
          <w:ilvl w:val="0"/>
          <w:numId w:val="2"/>
        </w:numPr>
        <w:spacing w:after="80" w:line="270"/>
      </w:pPr>
      <w:r>
        <w:rPr>
          <w:color w:val="222222"/>
          <w:sz w:val="21"/>
          <w:szCs w:val="21"/>
        </w:rPr>
        <w:t xml:space="preserve">Which pilot sector should be the first sector-specific module — Manufacturing (largest SME base) or another sector with a clearer buyer-driven demand signal?</w:t>
      </w:r>
    </w:p>
    <w:p>
      <w:pPr>
        <w:pStyle w:val="ListParagraph"/>
        <w:numPr>
          <w:ilvl w:val="0"/>
          <w:numId w:val="2"/>
        </w:numPr>
        <w:spacing w:after="80" w:line="270"/>
      </w:pPr>
      <w:r>
        <w:rPr>
          <w:color w:val="222222"/>
          <w:sz w:val="21"/>
          <w:szCs w:val="21"/>
        </w:rPr>
        <w:t xml:space="preserve">Should consultant/auditor accounts be a Phase 1 acquisition channel rather than a later feature?</w:t>
      </w:r>
    </w:p>
    <w:p>
      <w:pPr>
        <w:pStyle w:val="ListParagraph"/>
        <w:numPr>
          <w:ilvl w:val="0"/>
          <w:numId w:val="2"/>
        </w:numPr>
        <w:spacing w:after="80" w:line="270"/>
      </w:pPr>
      <w:r>
        <w:rPr>
          <w:color w:val="222222"/>
          <w:sz w:val="21"/>
          <w:szCs w:val="21"/>
        </w:rPr>
        <w:t xml:space="preserve">Is Bahasa Malaysia localisation needed for Phase 1 or can it wait, given SEDG itself offers a Bahasa Malaysia version?</w:t>
      </w:r>
    </w:p>
    <w:p>
      <w:pPr>
        <w:pStyle w:val="ListParagraph"/>
        <w:numPr>
          <w:ilvl w:val="0"/>
          <w:numId w:val="2"/>
        </w:numPr>
        <w:spacing w:after="80" w:line="270"/>
      </w:pPr>
      <w:r>
        <w:rPr>
          <w:color w:val="222222"/>
          <w:sz w:val="21"/>
          <w:szCs w:val="21"/>
        </w:rPr>
        <w:t xml:space="preserve">For Issuer-Ready: would a generic project-management tool (e.g. Asana, Monday.com) configured for ESG data collection already satisfy the coordination need, undercutting the case for a purpose-built product? This should be explicitly tested in Phase 4 discovery, not assumed away.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PRD — SDG/ESG Platform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2026-08-28T10:37:45.018Z</dcterms:created>
  <dcterms:modified xsi:type="dcterms:W3CDTF">2026-08-28T10:37:45.019Z</dcterms:modified>
</cp:coreProperties>
</file>

<file path=docProps/custom.xml><?xml version="1.0" encoding="utf-8"?>
<Properties xmlns="http://schemas.openxmlformats.org/officeDocument/2006/custom-properties" xmlns:vt="http://schemas.openxmlformats.org/officeDocument/2006/docPropsVTypes"/>
</file>