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260" w:rsidRDefault="003C590B">
      <w:pPr>
        <w:pStyle w:val="Title"/>
        <w:jc w:val="center"/>
      </w:pPr>
      <w:r>
        <w:t>E1 / E2 / E3 System-Level Findings</w:t>
      </w:r>
    </w:p>
    <w:p w:rsidR="00746260" w:rsidRDefault="003C590B">
      <w:pPr>
        <w:jc w:val="center"/>
      </w:pPr>
      <w:r>
        <w:rPr>
          <w:i/>
        </w:rPr>
        <w:t>Reference document for paper writing — numbers, tables, and figures only (system-level; kinetic-model audit documented separately).</w:t>
      </w:r>
    </w:p>
    <w:p w:rsidR="00746260" w:rsidRDefault="003C590B">
      <w:r>
        <w:t xml:space="preserve">All results: HRX effectiveness e=0.70, collector area A_c=10 m^2, R134a heat pump, </w:t>
      </w:r>
      <w:r>
        <w:t>T_set=45 C, batch m_p_dry=3.0 kg (10 trays). VPD bypass: threshold=0.05 kPa, 3x hysteresis, 600 s dwell. Validation: zero first-law violations across 92 canonical runs (Section 7).</w:t>
      </w:r>
    </w:p>
    <w:p w:rsidR="00746260" w:rsidRDefault="003C590B">
      <w:pPr>
        <w:pStyle w:val="Heading1"/>
      </w:pPr>
      <w:r>
        <w:t>1. Configuration recap</w:t>
      </w:r>
    </w:p>
    <w:p w:rsidR="00746260" w:rsidRDefault="003C590B">
      <w:r>
        <w:t>All three configurations combine an exhaust-air heat</w:t>
      </w:r>
      <w:r>
        <w:t>-recovery exchanger (HRX), a flat-plate solar air collector, and an R134a heat pump. They differ only in (a) where the solar collector sits in the air path and (b) how the evaporator is fed.</w:t>
      </w:r>
    </w:p>
    <w:p w:rsidR="00746260" w:rsidRDefault="003C590B">
      <w:pPr>
        <w:pStyle w:val="Heading2"/>
      </w:pPr>
      <w:r>
        <w:t>E1 - HRX + Solar before condenser, ambient evaporator</w:t>
      </w:r>
    </w:p>
    <w:p w:rsidR="00746260" w:rsidRDefault="003C590B">
      <w:r>
        <w:t>Air path: A</w:t>
      </w:r>
      <w:r>
        <w:t>mbient -&gt; HRX (preheat) -&gt; Solar (preheat) -&gt; Condenser (top-up to 45 C) -&gt; Chamber. The evaporator is fed by ambient air only. This is the simplest topology: solar acts as a second preheater, the heat pump never sees recovered exhaust on the source side.</w:t>
      </w:r>
    </w:p>
    <w:p w:rsidR="00746260" w:rsidRDefault="003C590B">
      <w:pPr>
        <w:pStyle w:val="Heading2"/>
      </w:pPr>
      <w:r>
        <w:t>E2 - HRX + Solar before condenser, exhaust+ambient evaporator</w:t>
      </w:r>
    </w:p>
    <w:p w:rsidR="00746260" w:rsidRDefault="003C590B">
      <w:r>
        <w:t xml:space="preserve">Air path: identical to E1 on the supply side (Amb -&gt; HRX -&gt; Solar -&gt; Cond -&gt; Chamber). The difference is the evaporator: it is fed by the post-HRX exhaust mixed with an ambient supplement sized </w:t>
      </w:r>
      <w:r>
        <w:t>iteratively so the evaporator can absorb Q_evap = Q_cond - eta_mech*W_comp. Warmer evaporator inlet -&gt; higher COP -&gt; lower compressor work for the same Q_cond.</w:t>
      </w:r>
    </w:p>
    <w:p w:rsidR="00746260" w:rsidRDefault="003C590B">
      <w:pPr>
        <w:pStyle w:val="Heading2"/>
      </w:pPr>
      <w:r>
        <w:t>E3 - HRX + Solar after condenser, exhaust+ambient evaporator</w:t>
      </w:r>
    </w:p>
    <w:p w:rsidR="00746260" w:rsidRDefault="003C590B">
      <w:r>
        <w:t>Air path: Ambient -&gt; HRX -&gt; Condens</w:t>
      </w:r>
      <w:r>
        <w:t>er -&gt; Solar -&gt; Chamber. The collector is plumbed downstream of the condenser, so when irradiance is high the heat pump can run at a lower lift (partial-lift control law) and let the collector finish heating to T_set. The evaporator side matches E2.</w:t>
      </w:r>
    </w:p>
    <w:p w:rsidR="00746260" w:rsidRDefault="003C590B">
      <w:r>
        <w:t>VPD byp</w:t>
      </w:r>
      <w:r>
        <w:t>ass (all three configs): when the chamber-inlet vapour-pressure deficit relative to recovered exhaust falls below 0.05 kPa, the supply air bypasses the HRX. For E1/E2 the bypass path is Exhaust -&gt; Solar -&gt; Cond -&gt; Chamber. For E3 the bypass preserves topol</w:t>
      </w:r>
      <w:r>
        <w:t>ogy: Exhaust -&gt; Cond -&gt; Solar -&gt; Chamber. A 3x hysteresis band and 600 s dwell prevent rapid switching.</w:t>
      </w:r>
    </w:p>
    <w:p w:rsidR="00746260" w:rsidRDefault="003C590B">
      <w:pPr>
        <w:pStyle w:val="Heading1"/>
      </w:pPr>
      <w:r>
        <w:lastRenderedPageBreak/>
        <w:t>2. Headline performance numbers</w:t>
      </w:r>
    </w:p>
    <w:p w:rsidR="00746260" w:rsidRDefault="003C590B">
      <w:pPr>
        <w:pStyle w:val="Heading2"/>
      </w:pPr>
      <w:r>
        <w:t>2.1 SEC without VPD bypass [kWh / kg water]</w:t>
      </w:r>
    </w:p>
    <w:tbl>
      <w:tblPr>
        <w:tblStyle w:val="LightGrid-Accent1"/>
        <w:tblW w:w="0" w:type="auto"/>
        <w:tblLook w:val="04A0" w:firstRow="1" w:lastRow="0" w:firstColumn="1" w:lastColumn="0" w:noHBand="0" w:noVBand="1"/>
      </w:tblPr>
      <w:tblGrid>
        <w:gridCol w:w="1080"/>
        <w:gridCol w:w="1080"/>
        <w:gridCol w:w="1080"/>
        <w:gridCol w:w="1080"/>
        <w:gridCol w:w="1080"/>
        <w:gridCol w:w="1080"/>
        <w:gridCol w:w="1080"/>
        <w:gridCol w:w="108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case</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E1</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E2</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E3</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best</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E2 vs E1 [%]</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E3 vs E1 [%]</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E3 vs E2 [%]</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annual</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0.1427</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0.1298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0.1373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-9.00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-3.78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+5.73</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autumn oct nov</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0.1189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0.1081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0.1138</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-9.04</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-4.29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+5.22</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spring mar apr</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0.0758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0.0719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0.0793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-5.23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+4.60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+10.37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winter dec jan</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0.1202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0.1106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0.1203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-7.95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+8.81</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DHU / annual</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0.1842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0.1668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0.1814</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-9.49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-1.56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+8.77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annual</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0.2226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0.1987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0.2182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-10.76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-1.98</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+9.83</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autumn oct nov</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0.1362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0.1226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0.1330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-9.95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-2.30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+8.49</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spring mar apr</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0.1013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0.0942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0.1043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-7.05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+2.97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+10.78</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winter dec jan</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0.1454</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0.1323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0.1431</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-9.03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-1.62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+8.14</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annual</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0.1795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0.1639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0.1757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-8.67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-2.10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+7.20</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autumn oct nov</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0.1128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0.1018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0.1082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-9.73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-4.06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+6.29</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spring mar apr</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0.1226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0.1146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0.1215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-6.51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-0.87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+6.02</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winter dec jan</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0.1805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0.1626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0.1720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-9.94</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-4.72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+5.79</w:t>
            </w:r>
          </w:p>
        </w:tc>
      </w:tr>
    </w:tbl>
    <w:p w:rsidR="00746260" w:rsidRDefault="00746260"/>
    <w:p w:rsidR="00746260" w:rsidRDefault="003C590B">
      <w:r>
        <w:rPr>
          <w:i/>
        </w:rPr>
        <w:t>Source: outputs/audit/step4_pivot_SEC_no_vpd.csv (13 cases). E2 wins SEC in 13/13 cases. Mean E2-vs-E1 saving = -8.64 %; mean E3-vs-E2 penalty = 7.80 %.</w:t>
      </w:r>
    </w:p>
    <w:p w:rsidR="00746260" w:rsidRDefault="003C590B">
      <w:pPr>
        <w:pStyle w:val="Heading2"/>
      </w:pPr>
      <w:r>
        <w:lastRenderedPageBreak/>
        <w:t>2.2 SEC with VPD bypass [kWh / kg water]</w:t>
      </w:r>
    </w:p>
    <w:tbl>
      <w:tblPr>
        <w:tblStyle w:val="LightGrid-Accent1"/>
        <w:tblW w:w="0" w:type="auto"/>
        <w:tblLook w:val="04A0" w:firstRow="1" w:lastRow="0" w:firstColumn="1" w:lastColumn="0" w:noHBand="0" w:noVBand="1"/>
      </w:tblPr>
      <w:tblGrid>
        <w:gridCol w:w="1080"/>
        <w:gridCol w:w="1080"/>
        <w:gridCol w:w="1080"/>
        <w:gridCol w:w="1080"/>
        <w:gridCol w:w="1080"/>
        <w:gridCol w:w="1080"/>
        <w:gridCol w:w="1080"/>
        <w:gridCol w:w="108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case</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E1</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E2</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E3</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best</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E2 vs E1 [%]</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 xml:space="preserve">E3 vs </w:t>
            </w:r>
            <w:r>
              <w:t>E1 [%]</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E3 vs E2 [%]</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annual</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0.0995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0.0957</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0.1024</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-3.89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+2.85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+7.01</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autumn oct nov</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0.0708</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0.0689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0.0738</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-2.67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+4.21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+7.07</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spring mar apr</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0.0608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0.0595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0.0660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-2.09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+8.65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+10.97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BIR / winter dec jan</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0.0825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0.0800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0.0886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-3.01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+7.40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+10.74</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annual</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0.1529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0.1442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0.1599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-5.69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+4.59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+10.91</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autumn oct nov</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0.0864</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0.0832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0.0923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-3.72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+6.80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+10.93</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spring mar apr</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0.0781</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0.0756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0.0843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-3.20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+7.95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+11.52</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KAT / winter dec jan</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0.1040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0.0997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0.1087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-4.07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+4.57</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+9.01</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annual</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0.1325</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0.1276</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0.1379</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-3.67</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+4.10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+8.07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autumn oct nov</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0.0696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0.0676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0.0728</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-2.79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+4.69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+7.69</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spring mar apr</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0.0953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0.0928</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0.0982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-2.60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+3.03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+5.78</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TAP / winter dec jan</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0.1226</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0.1173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0.1245</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-4.29</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+1.54</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+6.09</w:t>
            </w:r>
          </w:p>
        </w:tc>
      </w:tr>
    </w:tbl>
    <w:p w:rsidR="00746260" w:rsidRDefault="00746260"/>
    <w:p w:rsidR="00746260" w:rsidRDefault="003C590B">
      <w:pPr>
        <w:rPr>
          <w:i/>
        </w:rPr>
      </w:pPr>
      <w:r>
        <w:rPr>
          <w:i/>
        </w:rPr>
        <w:t>Source: outputs/audit/step4_pivot_SEC_vpd.csv (12 cases). E2 wins 12/12. Mean E2-vs-E1 saving = -3.48 %; mean E3-vs-E2 penalty = 8.82 %. Dhulikhel intentionally omitted from the VPD set (no VPD experiment run for that location).</w:t>
      </w:r>
    </w:p>
    <w:p w:rsidR="003C590B" w:rsidRDefault="003C590B"/>
    <w:p w:rsidR="003C590B" w:rsidRDefault="003C590B"/>
    <w:p w:rsidR="00746260" w:rsidRDefault="003C590B">
      <w:pPr>
        <w:pStyle w:val="Heading2"/>
      </w:pPr>
      <w:r>
        <w:lastRenderedPageBreak/>
        <w:t xml:space="preserve">2.3 VPD bypass </w:t>
      </w:r>
      <w:r>
        <w:t>reduction in SEC vs no-VPD baseline</w:t>
      </w:r>
    </w:p>
    <w:tbl>
      <w:tblPr>
        <w:tblStyle w:val="LightGrid-Accent1"/>
        <w:tblW w:w="0" w:type="auto"/>
        <w:tblLook w:val="04A0" w:firstRow="1" w:lastRow="0" w:firstColumn="1" w:lastColumn="0" w:noHBand="0" w:noVBand="1"/>
      </w:tblPr>
      <w:tblGrid>
        <w:gridCol w:w="2160"/>
        <w:gridCol w:w="2160"/>
        <w:gridCol w:w="2160"/>
        <w:gridCol w:w="216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config</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mean reduction [%]</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min [%]</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max [%]</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E1</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-30.0000</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-40.4300</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-19.8600</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E2</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-26.1600</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-36.2600</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-17.2100</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E3</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-25.4300</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-35.1400</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-16.7600</w:t>
            </w:r>
          </w:p>
        </w:tc>
      </w:tr>
    </w:tbl>
    <w:p w:rsidR="00746260" w:rsidRDefault="00746260"/>
    <w:p w:rsidR="00746260" w:rsidRDefault="003C590B">
      <w:r>
        <w:rPr>
          <w:i/>
        </w:rPr>
        <w:t xml:space="preserve">Negative values indicate SEC improvement under VPD. Source: derived from </w:t>
      </w:r>
      <w:r>
        <w:rPr>
          <w:i/>
        </w:rPr>
        <w:t>step4_pivot_SEC_*.csv.</w:t>
      </w:r>
    </w:p>
    <w:p w:rsidR="00746260" w:rsidRDefault="003C590B">
      <w:pPr>
        <w:pStyle w:val="Heading1"/>
      </w:pPr>
      <w:r>
        <w:t>3. Head-to-head verdict</w:t>
      </w:r>
    </w:p>
    <w:p w:rsidR="00746260" w:rsidRDefault="003C590B">
      <w:pPr>
        <w:pStyle w:val="Heading2"/>
      </w:pPr>
      <w:r>
        <w:t>3.1 Win count per KPI (best per case)</w:t>
      </w:r>
    </w:p>
    <w:tbl>
      <w:tblPr>
        <w:tblStyle w:val="LightGrid-Accent1"/>
        <w:tblW w:w="0" w:type="auto"/>
        <w:tblLook w:val="04A0" w:firstRow="1" w:lastRow="0" w:firstColumn="1" w:lastColumn="0" w:noHBand="0" w:noVBand="1"/>
      </w:tblPr>
      <w:tblGrid>
        <w:gridCol w:w="1026"/>
        <w:gridCol w:w="984"/>
        <w:gridCol w:w="1020"/>
        <w:gridCol w:w="980"/>
        <w:gridCol w:w="1116"/>
        <w:gridCol w:w="1631"/>
        <w:gridCol w:w="1046"/>
        <w:gridCol w:w="1053"/>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config</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SEC</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SMER</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t_h</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COP_med</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Q_solar_usable</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mode</w:t>
            </w:r>
          </w:p>
        </w:tc>
        <w:tc>
          <w:tcPr>
            <w:tcW w:w="1080" w:type="dxa"/>
          </w:tcPr>
          <w:p w:rsidR="00746260" w:rsidRDefault="003C590B">
            <w:pPr>
              <w:cnfStyle w:val="100000000000" w:firstRow="1" w:lastRow="0" w:firstColumn="0" w:lastColumn="0" w:oddVBand="0" w:evenVBand="0" w:oddHBand="0" w:evenHBand="0" w:firstRowFirstColumn="0" w:firstRowLastColumn="0" w:lastRowFirstColumn="0" w:lastRowLastColumn="0"/>
            </w:pPr>
            <w:r>
              <w:t>n_cases</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E1</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no_vpd</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13</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no_vpd</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13</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13</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no_vpd</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13</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12</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vpd</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12</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12</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11</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0</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vpd</w:t>
            </w:r>
          </w:p>
        </w:tc>
        <w:tc>
          <w:tcPr>
            <w:tcW w:w="1080" w:type="dxa"/>
          </w:tcPr>
          <w:p w:rsidR="00746260" w:rsidRDefault="003C590B">
            <w:pPr>
              <w:cnfStyle w:val="000000100000" w:firstRow="0" w:lastRow="0" w:firstColumn="0" w:lastColumn="0" w:oddVBand="0" w:evenVBand="0" w:oddHBand="1" w:evenHBand="0" w:firstRowFirstColumn="0" w:firstRowLastColumn="0" w:lastRowFirstColumn="0" w:lastRowLastColumn="0"/>
            </w:pPr>
            <w:r>
              <w:t>12</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746260" w:rsidRDefault="003C590B">
            <w:r>
              <w:t>E3</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0</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vpd</w:t>
            </w:r>
          </w:p>
        </w:tc>
        <w:tc>
          <w:tcPr>
            <w:tcW w:w="1080" w:type="dxa"/>
          </w:tcPr>
          <w:p w:rsidR="00746260" w:rsidRDefault="003C590B">
            <w:pPr>
              <w:cnfStyle w:val="000000010000" w:firstRow="0" w:lastRow="0" w:firstColumn="0" w:lastColumn="0" w:oddVBand="0" w:evenVBand="0" w:oddHBand="0" w:evenHBand="1" w:firstRowFirstColumn="0" w:firstRowLastColumn="0" w:lastRowFirstColumn="0" w:lastRowLastColumn="0"/>
            </w:pPr>
            <w:r>
              <w:t>12</w:t>
            </w:r>
          </w:p>
        </w:tc>
      </w:tr>
    </w:tbl>
    <w:p w:rsidR="00746260" w:rsidRDefault="00746260"/>
    <w:p w:rsidR="00746260" w:rsidRDefault="003C590B">
      <w:r>
        <w:rPr>
          <w:i/>
        </w:rPr>
        <w:t>Read: 'SEC=13' means that config achieves the best SEC in 13 of 13 cases. Source: outputs/audit/step4_winrate.csv.</w:t>
      </w:r>
    </w:p>
    <w:p w:rsidR="00746260" w:rsidRDefault="00746260"/>
    <w:p w:rsidR="00746260" w:rsidRDefault="003C590B">
      <w:r>
        <w:rPr>
          <w:b/>
        </w:rPr>
        <w:t>Key takeaways:</w:t>
      </w:r>
    </w:p>
    <w:p w:rsidR="00746260" w:rsidRDefault="003C590B">
      <w:pPr>
        <w:pStyle w:val="ListBullet"/>
      </w:pPr>
      <w:r>
        <w:t>E2 wins SEC and SMER in every single case (13/13 no-VPD, 12/12 VPD).</w:t>
      </w:r>
    </w:p>
    <w:p w:rsidR="00746260" w:rsidRDefault="003C590B">
      <w:pPr>
        <w:pStyle w:val="ListBullet"/>
      </w:pPr>
      <w:r>
        <w:t>E1 always finishes dryin</w:t>
      </w:r>
      <w:r>
        <w:t>g fastest (lowest t_h) because its evaporator is colder, which forces a higher condenser duty and pushes more heat into the chamber per unit time, even though it is energetically expensive.</w:t>
      </w:r>
    </w:p>
    <w:p w:rsidR="00746260" w:rsidRDefault="003C590B">
      <w:pPr>
        <w:pStyle w:val="ListBullet"/>
      </w:pPr>
      <w:r>
        <w:t>E3 has the highest median COP in 11/12 VPD cases (lower lift -&gt; hi</w:t>
      </w:r>
      <w:r>
        <w:t>gher Carnot ceiling), but the lift it enables is partial, so total compressor energy and SEC are both worse than E2.</w:t>
      </w:r>
    </w:p>
    <w:p w:rsidR="00746260" w:rsidRDefault="003C590B">
      <w:pPr>
        <w:pStyle w:val="ListBullet"/>
      </w:pPr>
      <w:r>
        <w:t>Q_solar_usable wins are split E1/E3 because their collector inlet temperatures differ; raw solar capture does not predict SEC.</w:t>
      </w:r>
    </w:p>
    <w:p w:rsidR="003C590B" w:rsidRDefault="003C590B">
      <w:pPr>
        <w:pStyle w:val="Heading1"/>
      </w:pPr>
    </w:p>
    <w:p w:rsidR="00746260" w:rsidRDefault="003C590B">
      <w:pPr>
        <w:pStyle w:val="Heading1"/>
      </w:pPr>
      <w:r>
        <w:t xml:space="preserve">4. Energy </w:t>
      </w:r>
      <w:r>
        <w:t>split - where each kWh comes from</w:t>
      </w:r>
    </w:p>
    <w:p w:rsidR="00746260" w:rsidRDefault="003C590B">
      <w:pPr>
        <w:pStyle w:val="Heading2"/>
      </w:pPr>
      <w:r>
        <w:t>4.1 Mean energy shares by config (all 13 cases)</w:t>
      </w:r>
    </w:p>
    <w:tbl>
      <w:tblPr>
        <w:tblStyle w:val="LightGrid-Accent1"/>
        <w:tblW w:w="0" w:type="auto"/>
        <w:tblLook w:val="04A0" w:firstRow="1" w:lastRow="0" w:firstColumn="1" w:lastColumn="0" w:noHBand="0" w:noVBand="1"/>
      </w:tblPr>
      <w:tblGrid>
        <w:gridCol w:w="915"/>
        <w:gridCol w:w="1087"/>
        <w:gridCol w:w="1087"/>
        <w:gridCol w:w="873"/>
        <w:gridCol w:w="901"/>
        <w:gridCol w:w="901"/>
        <w:gridCol w:w="901"/>
        <w:gridCol w:w="1250"/>
        <w:gridCol w:w="941"/>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rsidR="00746260" w:rsidRDefault="003C590B">
            <w:r>
              <w:t>config</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SEC [kWh/kg]</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SMER [kg/kWh]</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COP</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HRX share [%]</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Solar share [%]</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HP share [%]</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eta_overall [%]</w:t>
            </w:r>
          </w:p>
        </w:tc>
        <w:tc>
          <w:tcPr>
            <w:tcW w:w="960" w:type="dxa"/>
          </w:tcPr>
          <w:p w:rsidR="00746260" w:rsidRDefault="003C590B">
            <w:pPr>
              <w:cnfStyle w:val="100000000000" w:firstRow="1" w:lastRow="0" w:firstColumn="0" w:lastColumn="0" w:oddVBand="0" w:evenVBand="0" w:oddHBand="0" w:evenHBand="0" w:firstRowFirstColumn="0" w:firstRowLastColumn="0" w:lastRowFirstColumn="0" w:lastRowLastColumn="0"/>
            </w:pPr>
            <w:r>
              <w:t>Solar clipped [%]</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rsidR="00746260" w:rsidRDefault="003C590B">
            <w:r>
              <w:t>E1</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7.62</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4.27</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48.01</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28.49</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23.50</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91.91</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39.97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rsidR="00746260" w:rsidRDefault="003C590B">
            <w:r>
              <w:t>E2</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0.13</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8.31</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4.75</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48.01</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28.49</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23.50</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93.56</w:t>
            </w:r>
          </w:p>
        </w:tc>
        <w:tc>
          <w:tcPr>
            <w:tcW w:w="960" w:type="dxa"/>
          </w:tcPr>
          <w:p w:rsidR="00746260" w:rsidRDefault="003C590B">
            <w:pPr>
              <w:cnfStyle w:val="000000010000" w:firstRow="0" w:lastRow="0" w:firstColumn="0" w:lastColumn="0" w:oddVBand="0" w:evenVBand="0" w:oddHBand="0" w:evenHBand="1" w:firstRowFirstColumn="0" w:firstRowLastColumn="0" w:lastRowFirstColumn="0" w:lastRowLastColumn="0"/>
            </w:pPr>
            <w:r>
              <w:t>39.97</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rsidR="00746260" w:rsidRDefault="003C590B">
            <w:r>
              <w:t>E3</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7.70</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4.84</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47.99</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25.88</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26.12</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100.04</w:t>
            </w:r>
          </w:p>
        </w:tc>
        <w:tc>
          <w:tcPr>
            <w:tcW w:w="960" w:type="dxa"/>
          </w:tcPr>
          <w:p w:rsidR="00746260" w:rsidRDefault="003C590B">
            <w:pPr>
              <w:cnfStyle w:val="000000100000" w:firstRow="0" w:lastRow="0" w:firstColumn="0" w:lastColumn="0" w:oddVBand="0" w:evenVBand="0" w:oddHBand="1" w:evenHBand="0" w:firstRowFirstColumn="0" w:firstRowLastColumn="0" w:lastRowFirstColumn="0" w:lastRowLastColumn="0"/>
            </w:pPr>
            <w:r>
              <w:t>42.34</w:t>
            </w:r>
          </w:p>
        </w:tc>
      </w:tr>
    </w:tbl>
    <w:p w:rsidR="00746260" w:rsidRDefault="00746260"/>
    <w:p w:rsidR="00746260" w:rsidRDefault="003C590B">
      <w:r>
        <w:rPr>
          <w:i/>
        </w:rPr>
        <w:t xml:space="preserve">Shares are fractions of the chamber-inlet heat budget (Q_HRX + Q_solar_usable + Q_cond). 'eta_overall' is Q_useful_latent / (W_total + Q_solar_gross). 'Solar </w:t>
      </w:r>
      <w:r>
        <w:rPr>
          <w:i/>
        </w:rPr>
        <w:t>clipped' is the fraction of gross solar capture that exceeded what the control loop could absorb at T_set. Source: outputs/audit/step3_energy_split.csv.</w:t>
      </w:r>
    </w:p>
    <w:p w:rsidR="00746260" w:rsidRDefault="003C590B">
      <w:r>
        <w:rPr>
          <w:b/>
        </w:rPr>
        <w:t>Headline: across all configurations, ~50 % of inlet-air heat comes from the HRX, ~25-30 % from solar, ~</w:t>
      </w:r>
      <w:r>
        <w:rPr>
          <w:b/>
        </w:rPr>
        <w:t>22-30 % from the heat pump. The HRX is the largest single source of heat, followed by the heat pump and solar in roughly equal proportion.</w:t>
      </w:r>
    </w:p>
    <w:p w:rsidR="00746260" w:rsidRDefault="003C590B">
      <w:pPr>
        <w:pStyle w:val="Heading2"/>
      </w:pPr>
      <w:r>
        <w:t>4.2 Energy-split figures</w:t>
      </w:r>
    </w:p>
    <w:p w:rsidR="00746260" w:rsidRDefault="003C590B">
      <w:pPr>
        <w:jc w:val="center"/>
      </w:pPr>
      <w:r>
        <w:rPr>
          <w:noProof/>
        </w:rPr>
        <w:drawing>
          <wp:inline distT="0" distB="0" distL="0" distR="0">
            <wp:extent cx="54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energy_split_E1.png"/>
                    <pic:cNvPicPr/>
                  </pic:nvPicPr>
                  <pic:blipFill>
                    <a:blip r:embed="rId6"/>
                    <a:stretch>
                      <a:fillRect/>
                    </a:stretch>
                  </pic:blipFill>
                  <pic:spPr>
                    <a:xfrm>
                      <a:off x="0" y="0"/>
                      <a:ext cx="5400000" cy="1800000"/>
                    </a:xfrm>
                    <a:prstGeom prst="rect">
                      <a:avLst/>
                    </a:prstGeom>
                  </pic:spPr>
                </pic:pic>
              </a:graphicData>
            </a:graphic>
          </wp:inline>
        </w:drawing>
      </w:r>
    </w:p>
    <w:p w:rsidR="00746260" w:rsidRDefault="003C590B">
      <w:pPr>
        <w:jc w:val="center"/>
      </w:pPr>
      <w:r>
        <w:rPr>
          <w:i/>
          <w:sz w:val="20"/>
        </w:rPr>
        <w:t xml:space="preserve">Figure 4.1. Energy split for E1: chamber-inlet heat budget and collector-irradiance fate, </w:t>
      </w:r>
      <w:r>
        <w:rPr>
          <w:i/>
          <w:sz w:val="20"/>
        </w:rPr>
        <w:t>by location.</w:t>
      </w:r>
    </w:p>
    <w:p w:rsidR="00746260" w:rsidRDefault="003C590B">
      <w:pPr>
        <w:jc w:val="center"/>
      </w:pPr>
      <w:r>
        <w:rPr>
          <w:noProof/>
        </w:rPr>
        <w:lastRenderedPageBreak/>
        <w:drawing>
          <wp:inline distT="0" distB="0" distL="0" distR="0">
            <wp:extent cx="5400000"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energy_split_E2.png"/>
                    <pic:cNvPicPr/>
                  </pic:nvPicPr>
                  <pic:blipFill>
                    <a:blip r:embed="rId7"/>
                    <a:stretch>
                      <a:fillRect/>
                    </a:stretch>
                  </pic:blipFill>
                  <pic:spPr>
                    <a:xfrm>
                      <a:off x="0" y="0"/>
                      <a:ext cx="5400000" cy="1800000"/>
                    </a:xfrm>
                    <a:prstGeom prst="rect">
                      <a:avLst/>
                    </a:prstGeom>
                  </pic:spPr>
                </pic:pic>
              </a:graphicData>
            </a:graphic>
          </wp:inline>
        </w:drawing>
      </w:r>
    </w:p>
    <w:p w:rsidR="00746260" w:rsidRDefault="003C590B">
      <w:pPr>
        <w:jc w:val="center"/>
      </w:pPr>
      <w:r>
        <w:rPr>
          <w:i/>
          <w:sz w:val="20"/>
        </w:rPr>
        <w:t>Figure 4.2. Energy split for E2: chamber-inlet heat budget and collector-irradiance fate, by location.</w:t>
      </w:r>
    </w:p>
    <w:p w:rsidR="00746260" w:rsidRDefault="003C590B">
      <w:pPr>
        <w:jc w:val="center"/>
      </w:pPr>
      <w:r>
        <w:rPr>
          <w:noProof/>
        </w:rPr>
        <w:drawing>
          <wp:inline distT="0" distB="0" distL="0" distR="0">
            <wp:extent cx="540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energy_split_E3.png"/>
                    <pic:cNvPicPr/>
                  </pic:nvPicPr>
                  <pic:blipFill>
                    <a:blip r:embed="rId8"/>
                    <a:stretch>
                      <a:fillRect/>
                    </a:stretch>
                  </pic:blipFill>
                  <pic:spPr>
                    <a:xfrm>
                      <a:off x="0" y="0"/>
                      <a:ext cx="5400000" cy="1800000"/>
                    </a:xfrm>
                    <a:prstGeom prst="rect">
                      <a:avLst/>
                    </a:prstGeom>
                  </pic:spPr>
                </pic:pic>
              </a:graphicData>
            </a:graphic>
          </wp:inline>
        </w:drawing>
      </w:r>
    </w:p>
    <w:p w:rsidR="00746260" w:rsidRDefault="003C590B">
      <w:pPr>
        <w:jc w:val="center"/>
      </w:pPr>
      <w:r>
        <w:rPr>
          <w:i/>
          <w:sz w:val="20"/>
        </w:rPr>
        <w:t>Figure 4.3. Energy split for E3: chamber-inlet heat budget and collector-irradiance fate, by location.</w:t>
      </w:r>
    </w:p>
    <w:p w:rsidR="00746260" w:rsidRDefault="003C590B">
      <w:pPr>
        <w:pStyle w:val="Heading2"/>
      </w:pPr>
      <w:r>
        <w:t>4.3 Psychrometric trace (Kathmand</w:t>
      </w:r>
      <w:r>
        <w:t>u annual reference case)</w:t>
      </w:r>
    </w:p>
    <w:p w:rsidR="00746260" w:rsidRDefault="003C590B">
      <w:pPr>
        <w:jc w:val="center"/>
      </w:pPr>
      <w:r>
        <w:rPr>
          <w:noProof/>
        </w:rPr>
        <w:drawing>
          <wp:inline distT="0" distB="0" distL="0" distR="0">
            <wp:extent cx="5400000" cy="30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e_air_states_E1_kathmandu_annual.png"/>
                    <pic:cNvPicPr/>
                  </pic:nvPicPr>
                  <pic:blipFill>
                    <a:blip r:embed="rId9"/>
                    <a:stretch>
                      <a:fillRect/>
                    </a:stretch>
                  </pic:blipFill>
                  <pic:spPr>
                    <a:xfrm>
                      <a:off x="0" y="0"/>
                      <a:ext cx="5400000" cy="3060000"/>
                    </a:xfrm>
                    <a:prstGeom prst="rect">
                      <a:avLst/>
                    </a:prstGeom>
                  </pic:spPr>
                </pic:pic>
              </a:graphicData>
            </a:graphic>
          </wp:inline>
        </w:drawing>
      </w:r>
    </w:p>
    <w:p w:rsidR="00746260" w:rsidRDefault="003C590B">
      <w:pPr>
        <w:jc w:val="center"/>
      </w:pPr>
      <w:r>
        <w:rPr>
          <w:i/>
          <w:sz w:val="20"/>
        </w:rPr>
        <w:lastRenderedPageBreak/>
        <w:t>Figure 4.4-E1. Air state at each station (Kathmandu, annual) for E1: T-omega trajectory through HRX, solar, condenser, chamber, evaporator.</w:t>
      </w:r>
    </w:p>
    <w:p w:rsidR="00746260" w:rsidRDefault="003C590B">
      <w:pPr>
        <w:jc w:val="center"/>
      </w:pPr>
      <w:r>
        <w:rPr>
          <w:noProof/>
        </w:rPr>
        <w:drawing>
          <wp:inline distT="0" distB="0" distL="0" distR="0">
            <wp:extent cx="5400000" cy="30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e_air_states_E2_kathmandu_annual.png"/>
                    <pic:cNvPicPr/>
                  </pic:nvPicPr>
                  <pic:blipFill>
                    <a:blip r:embed="rId10"/>
                    <a:stretch>
                      <a:fillRect/>
                    </a:stretch>
                  </pic:blipFill>
                  <pic:spPr>
                    <a:xfrm>
                      <a:off x="0" y="0"/>
                      <a:ext cx="5400000" cy="3060000"/>
                    </a:xfrm>
                    <a:prstGeom prst="rect">
                      <a:avLst/>
                    </a:prstGeom>
                  </pic:spPr>
                </pic:pic>
              </a:graphicData>
            </a:graphic>
          </wp:inline>
        </w:drawing>
      </w:r>
    </w:p>
    <w:p w:rsidR="00746260" w:rsidRDefault="003C590B">
      <w:pPr>
        <w:jc w:val="center"/>
      </w:pPr>
      <w:r>
        <w:rPr>
          <w:i/>
          <w:sz w:val="20"/>
        </w:rPr>
        <w:t>Figure 4.4-E2. Air state at each station (Kathmandu, annual) for E2: T-omega trajectory</w:t>
      </w:r>
      <w:r>
        <w:rPr>
          <w:i/>
          <w:sz w:val="20"/>
        </w:rPr>
        <w:t xml:space="preserve"> through HRX, solar, condenser, chamber, evaporator.</w:t>
      </w:r>
    </w:p>
    <w:p w:rsidR="00746260" w:rsidRDefault="003C590B">
      <w:pPr>
        <w:jc w:val="center"/>
      </w:pPr>
      <w:r>
        <w:rPr>
          <w:noProof/>
        </w:rPr>
        <w:drawing>
          <wp:inline distT="0" distB="0" distL="0" distR="0">
            <wp:extent cx="5400000" cy="30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e_air_states_E3_kathmandu_annual.png"/>
                    <pic:cNvPicPr/>
                  </pic:nvPicPr>
                  <pic:blipFill>
                    <a:blip r:embed="rId11"/>
                    <a:stretch>
                      <a:fillRect/>
                    </a:stretch>
                  </pic:blipFill>
                  <pic:spPr>
                    <a:xfrm>
                      <a:off x="0" y="0"/>
                      <a:ext cx="5400000" cy="3060000"/>
                    </a:xfrm>
                    <a:prstGeom prst="rect">
                      <a:avLst/>
                    </a:prstGeom>
                  </pic:spPr>
                </pic:pic>
              </a:graphicData>
            </a:graphic>
          </wp:inline>
        </w:drawing>
      </w:r>
    </w:p>
    <w:p w:rsidR="00746260" w:rsidRDefault="003C590B">
      <w:pPr>
        <w:jc w:val="center"/>
      </w:pPr>
      <w:r>
        <w:rPr>
          <w:i/>
          <w:sz w:val="20"/>
        </w:rPr>
        <w:t>Figure 4.4-E3. Air state at each station (Kathmandu, annual) for E3: T-omega trajectory through HRX, solar, condenser, chamber, evaporator.</w:t>
      </w:r>
    </w:p>
    <w:p w:rsidR="00746260" w:rsidRDefault="003C590B">
      <w:pPr>
        <w:pStyle w:val="Heading1"/>
      </w:pPr>
      <w:r>
        <w:lastRenderedPageBreak/>
        <w:t>5. VPD bypass strategy and threshold sensitivity</w:t>
      </w:r>
    </w:p>
    <w:p w:rsidR="00746260" w:rsidRDefault="003C590B">
      <w:r>
        <w:t>The VPD bypa</w:t>
      </w:r>
      <w:r>
        <w:t>ss exists because once recovered exhaust becomes nearly saturated (low VPD vs chamber inlet), routing it through the HRX no longer transfers useful drying potential. Bypass diverts the exhaust around the HRX (and through the heat pump source side / solar c</w:t>
      </w:r>
      <w:r>
        <w:t>ollector instead, depending on config), keeping the supply hot and dry.</w:t>
      </w:r>
    </w:p>
    <w:p w:rsidR="00746260" w:rsidRDefault="003C590B">
      <w:pPr>
        <w:pStyle w:val="Heading2"/>
      </w:pPr>
      <w:r>
        <w:t>5.1 Threshold sensitivity sweep (E2)</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case</w:t>
            </w:r>
          </w:p>
        </w:tc>
        <w:tc>
          <w:tcPr>
            <w:tcW w:w="1440" w:type="dxa"/>
          </w:tcPr>
          <w:p w:rsidR="00746260" w:rsidRDefault="003C590B">
            <w:pPr>
              <w:cnfStyle w:val="100000000000" w:firstRow="1" w:lastRow="0" w:firstColumn="0" w:lastColumn="0" w:oddVBand="0" w:evenVBand="0" w:oddHBand="0" w:evenHBand="0" w:firstRowFirstColumn="0" w:firstRowLastColumn="0" w:lastRowFirstColumn="0" w:lastRowLastColumn="0"/>
            </w:pPr>
            <w:r>
              <w:t>VPD threshold [kPa]</w:t>
            </w:r>
          </w:p>
        </w:tc>
        <w:tc>
          <w:tcPr>
            <w:tcW w:w="1440" w:type="dxa"/>
          </w:tcPr>
          <w:p w:rsidR="00746260" w:rsidRDefault="003C590B">
            <w:pPr>
              <w:cnfStyle w:val="100000000000" w:firstRow="1" w:lastRow="0" w:firstColumn="0" w:lastColumn="0" w:oddVBand="0" w:evenVBand="0" w:oddHBand="0" w:evenHBand="0" w:firstRowFirstColumn="0" w:firstRowLastColumn="0" w:lastRowFirstColumn="0" w:lastRowLastColumn="0"/>
            </w:pPr>
            <w:r>
              <w:t>t [h]</w:t>
            </w:r>
          </w:p>
        </w:tc>
        <w:tc>
          <w:tcPr>
            <w:tcW w:w="1440" w:type="dxa"/>
          </w:tcPr>
          <w:p w:rsidR="00746260" w:rsidRDefault="003C590B">
            <w:pPr>
              <w:cnfStyle w:val="100000000000" w:firstRow="1" w:lastRow="0" w:firstColumn="0" w:lastColumn="0" w:oddVBand="0" w:evenVBand="0" w:oddHBand="0" w:evenHBand="0" w:firstRowFirstColumn="0" w:firstRowLastColumn="0" w:lastRowFirstColumn="0" w:lastRowLastColumn="0"/>
            </w:pPr>
            <w:r>
              <w:t>SEC [kWh/kg]</w:t>
            </w:r>
          </w:p>
        </w:tc>
        <w:tc>
          <w:tcPr>
            <w:tcW w:w="1440" w:type="dxa"/>
          </w:tcPr>
          <w:p w:rsidR="00746260" w:rsidRDefault="003C590B">
            <w:pPr>
              <w:cnfStyle w:val="100000000000" w:firstRow="1" w:lastRow="0" w:firstColumn="0" w:lastColumn="0" w:oddVBand="0" w:evenVBand="0" w:oddHBand="0" w:evenHBand="0" w:firstRowFirstColumn="0" w:firstRowLastColumn="0" w:lastRowFirstColumn="0" w:lastRowLastColumn="0"/>
            </w:pPr>
            <w:r>
              <w:t>SMER [kg/kWh]</w:t>
            </w:r>
          </w:p>
        </w:tc>
        <w:tc>
          <w:tcPr>
            <w:tcW w:w="1440" w:type="dxa"/>
          </w:tcPr>
          <w:p w:rsidR="00746260" w:rsidRDefault="003C590B">
            <w:pPr>
              <w:cnfStyle w:val="100000000000" w:firstRow="1" w:lastRow="0" w:firstColumn="0" w:lastColumn="0" w:oddVBand="0" w:evenVBand="0" w:oddHBand="0" w:evenHBand="0" w:firstRowFirstColumn="0" w:firstRowLastColumn="0" w:lastRowFirstColumn="0" w:lastRowLastColumn="0"/>
            </w:pPr>
            <w:r>
              <w:t>Bypass active [%]</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14.10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0.1987</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5.033</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0.02</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14.48</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0.1584</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6.311</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26.8</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15.40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0.1442</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6.936</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45.7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19.43</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0.1486</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6.727</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69.4</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23.20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0.1455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6.875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86.0</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KTM_annual</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0.20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28.30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0.1517</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6.592</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91.9</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20.03</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0.1081</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9.250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0.02</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21.35</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0.0753</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13.277</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36.0</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22.88</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0.0689</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14.512</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53.5</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33.88</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0.0837</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11.941</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78.5</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0.15</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36.02</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0.0890</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11.238</w:t>
            </w:r>
          </w:p>
        </w:tc>
        <w:tc>
          <w:tcPr>
            <w:tcW w:w="1440" w:type="dxa"/>
          </w:tcPr>
          <w:p w:rsidR="00746260" w:rsidRDefault="003C590B">
            <w:pPr>
              <w:cnfStyle w:val="000000100000" w:firstRow="0" w:lastRow="0" w:firstColumn="0" w:lastColumn="0" w:oddVBand="0" w:evenVBand="0" w:oddHBand="1" w:evenHBand="0" w:firstRowFirstColumn="0" w:firstRowLastColumn="0" w:lastRowFirstColumn="0" w:lastRowLastColumn="0"/>
            </w:pPr>
            <w:r>
              <w:t>88.4</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746260" w:rsidRDefault="003C590B">
            <w:r>
              <w:t>BTN_autumn</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0.20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72.00</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0.1385</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7.218</w:t>
            </w:r>
          </w:p>
        </w:tc>
        <w:tc>
          <w:tcPr>
            <w:tcW w:w="1440" w:type="dxa"/>
          </w:tcPr>
          <w:p w:rsidR="00746260" w:rsidRDefault="003C590B">
            <w:pPr>
              <w:cnfStyle w:val="000000010000" w:firstRow="0" w:lastRow="0" w:firstColumn="0" w:lastColumn="0" w:oddVBand="0" w:evenVBand="0" w:oddHBand="0" w:evenHBand="1" w:firstRowFirstColumn="0" w:firstRowLastColumn="0" w:lastRowFirstColumn="0" w:lastRowLastColumn="0"/>
            </w:pPr>
            <w:r>
              <w:t>96.1</w:t>
            </w:r>
          </w:p>
        </w:tc>
      </w:tr>
    </w:tbl>
    <w:p w:rsidR="00746260" w:rsidRDefault="00746260"/>
    <w:p w:rsidR="00746260" w:rsidRDefault="003C590B">
      <w:r>
        <w:rPr>
          <w:i/>
        </w:rPr>
        <w:t xml:space="preserve">Source: outputs/audit/step4_vpd_sweep.csv. The 0.05 kPa threshold is the SEC optimum </w:t>
      </w:r>
      <w:r>
        <w:rPr>
          <w:i/>
        </w:rPr>
        <w:t>on both representative cases (KTM annual, BTN autumn). Above 0.10 kPa the bypass becomes too aggressive: drying time grows steeply and re-inflates SEC by starving the chamber of dry-air mass flow.</w:t>
      </w:r>
    </w:p>
    <w:p w:rsidR="00746260" w:rsidRDefault="003C590B">
      <w:pPr>
        <w:jc w:val="center"/>
      </w:pPr>
      <w:r>
        <w:rPr>
          <w:noProof/>
        </w:rPr>
        <w:drawing>
          <wp:inline distT="0" distB="0" distL="0" distR="0">
            <wp:extent cx="5400000" cy="18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vpd_sweep.png"/>
                    <pic:cNvPicPr/>
                  </pic:nvPicPr>
                  <pic:blipFill>
                    <a:blip r:embed="rId12"/>
                    <a:stretch>
                      <a:fillRect/>
                    </a:stretch>
                  </pic:blipFill>
                  <pic:spPr>
                    <a:xfrm>
                      <a:off x="0" y="0"/>
                      <a:ext cx="5400000" cy="1800000"/>
                    </a:xfrm>
                    <a:prstGeom prst="rect">
                      <a:avLst/>
                    </a:prstGeom>
                  </pic:spPr>
                </pic:pic>
              </a:graphicData>
            </a:graphic>
          </wp:inline>
        </w:drawing>
      </w:r>
    </w:p>
    <w:p w:rsidR="00746260" w:rsidRDefault="003C590B">
      <w:pPr>
        <w:jc w:val="center"/>
      </w:pPr>
      <w:r>
        <w:rPr>
          <w:i/>
          <w:sz w:val="20"/>
        </w:rPr>
        <w:t>Figure 5.1. VPD threshold sweep on E2. Left: SEC vs thres</w:t>
      </w:r>
      <w:r>
        <w:rPr>
          <w:i/>
          <w:sz w:val="20"/>
        </w:rPr>
        <w:t>hold (U-shape, optimum ~0.05). Centre: drying time vs threshold (monotonically increasing). Right: bypass duty cycle vs threshold.</w:t>
      </w:r>
    </w:p>
    <w:p w:rsidR="00746260" w:rsidRDefault="003C590B">
      <w:pPr>
        <w:pStyle w:val="Heading2"/>
      </w:pPr>
      <w:r>
        <w:lastRenderedPageBreak/>
        <w:t>5.2 Bypass effect at the recommended threshold (0.05 kPa)</w:t>
      </w:r>
    </w:p>
    <w:p w:rsidR="00746260" w:rsidRDefault="003C590B">
      <w:r>
        <w:t>Activating the bypass at the recommended threshold yields an averag</w:t>
      </w:r>
      <w:r>
        <w:t>e SEC reduction across configurations of:</w:t>
      </w:r>
    </w:p>
    <w:p w:rsidR="00746260" w:rsidRDefault="003C590B">
      <w:r>
        <w:t xml:space="preserve">  - E1: mean reduction -30.00 % (range -40.43 % to -19.86 %).</w:t>
      </w:r>
    </w:p>
    <w:p w:rsidR="00746260" w:rsidRDefault="003C590B">
      <w:r>
        <w:t xml:space="preserve">  - E2: mean reduction -26.16 % (range -36.26 % to -17.21 %).</w:t>
      </w:r>
    </w:p>
    <w:p w:rsidR="00746260" w:rsidRDefault="003C590B">
      <w:r>
        <w:t xml:space="preserve">  - E3: mean reduction -25.43 % (range -35.14 % to -16.76 %).</w:t>
      </w:r>
    </w:p>
    <w:p w:rsidR="00746260" w:rsidRDefault="003C590B">
      <w:r>
        <w:t>The bypass benefits all thre</w:t>
      </w:r>
      <w:r>
        <w:t>e configurations but most strongly E1 (which has the coldest evaporator and largest compressor share). Across configs the bypass collapses the SEC spread: at no-VPD the E2-vs-E1 gap is ~9 %; at VPD-on it shrinks to ~3-4 %.</w:t>
      </w:r>
    </w:p>
    <w:p w:rsidR="00746260" w:rsidRDefault="003C590B">
      <w:pPr>
        <w:pStyle w:val="Heading1"/>
      </w:pPr>
      <w:r>
        <w:t>6. Sensitivity analyses</w:t>
      </w:r>
    </w:p>
    <w:p w:rsidR="00746260" w:rsidRDefault="003C590B">
      <w:pPr>
        <w:pStyle w:val="Heading2"/>
      </w:pPr>
      <w:r>
        <w:t>6.1 Colle</w:t>
      </w:r>
      <w:r>
        <w:t>ctor area sweep (E2)</w:t>
      </w:r>
    </w:p>
    <w:tbl>
      <w:tblPr>
        <w:tblStyle w:val="LightGrid-Accent1"/>
        <w:tblW w:w="0" w:type="auto"/>
        <w:tblLook w:val="04A0" w:firstRow="1" w:lastRow="0" w:firstColumn="1" w:lastColumn="0" w:noHBand="0" w:noVBand="1"/>
      </w:tblPr>
      <w:tblGrid>
        <w:gridCol w:w="1728"/>
        <w:gridCol w:w="1728"/>
        <w:gridCol w:w="1728"/>
        <w:gridCol w:w="1728"/>
        <w:gridCol w:w="1728"/>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A_c [m^2]</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biratnagar</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dhulikhel</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kathmandu</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taplejung</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2.0000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0.2140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0.2903</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0.2410</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4.0000</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0.1712</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0.2596</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0.2091</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5.0000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0.1552</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0.2460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6.0000</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0.1463</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0.2332</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0.1807</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8.0000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0.1354</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0.2106</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0.1684</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10.0000</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0.1298</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0.1668</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0.1987</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0.1639</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15.0000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0.1200</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0.1759</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nan</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20.0000</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0.1156</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0.1678</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r>
    </w:tbl>
    <w:p w:rsidR="00746260" w:rsidRDefault="00746260"/>
    <w:p w:rsidR="00746260" w:rsidRDefault="003C590B">
      <w:r>
        <w:rPr>
          <w:i/>
        </w:rPr>
        <w:t>Source: outputs/audit/step5_area_sweep.csv. SEC drops steeply 2 -&gt; 8 m^2, knee at ~10 m^2, diminishing returns above. Going from 10 to 20 m^2 saves only ~10 % SEC at the cost of</w:t>
      </w:r>
      <w:r>
        <w:rPr>
          <w:i/>
        </w:rPr>
        <w:t xml:space="preserve"> doubling collector capital, while clipping fraction passes 30-40 % at the larger sizes.</w:t>
      </w:r>
    </w:p>
    <w:p w:rsidR="00746260" w:rsidRDefault="003C590B">
      <w:pPr>
        <w:jc w:val="center"/>
      </w:pPr>
      <w:r>
        <w:rPr>
          <w:noProof/>
        </w:rPr>
        <w:drawing>
          <wp:inline distT="0" distB="0" distL="0" distR="0">
            <wp:extent cx="5400000" cy="168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area_sweep.png"/>
                    <pic:cNvPicPr/>
                  </pic:nvPicPr>
                  <pic:blipFill>
                    <a:blip r:embed="rId13"/>
                    <a:stretch>
                      <a:fillRect/>
                    </a:stretch>
                  </pic:blipFill>
                  <pic:spPr>
                    <a:xfrm>
                      <a:off x="0" y="0"/>
                      <a:ext cx="5400000" cy="1687500"/>
                    </a:xfrm>
                    <a:prstGeom prst="rect">
                      <a:avLst/>
                    </a:prstGeom>
                  </pic:spPr>
                </pic:pic>
              </a:graphicData>
            </a:graphic>
          </wp:inline>
        </w:drawing>
      </w:r>
    </w:p>
    <w:p w:rsidR="00746260" w:rsidRDefault="003C590B">
      <w:pPr>
        <w:jc w:val="center"/>
      </w:pPr>
      <w:r>
        <w:rPr>
          <w:i/>
          <w:sz w:val="20"/>
        </w:rPr>
        <w:t>Figure 6.1. E2 collector-area sweep across BTN/KTM/TPJ (annual). Left: SEC vs A_c. Centre: drying time vs A_c. Right: solar clipping fraction vs A_c.</w:t>
      </w:r>
    </w:p>
    <w:p w:rsidR="00746260" w:rsidRDefault="003C590B">
      <w:pPr>
        <w:pStyle w:val="Heading2"/>
      </w:pPr>
      <w:r>
        <w:lastRenderedPageBreak/>
        <w:t>6.2 Season x lo</w:t>
      </w:r>
      <w:r>
        <w:t>cation heatmap (E2)</w:t>
      </w:r>
    </w:p>
    <w:tbl>
      <w:tblPr>
        <w:tblStyle w:val="LightGrid-Accent1"/>
        <w:tblW w:w="0" w:type="auto"/>
        <w:tblLook w:val="04A0" w:firstRow="1" w:lastRow="0" w:firstColumn="1" w:lastColumn="0" w:noHBand="0" w:noVBand="1"/>
      </w:tblPr>
      <w:tblGrid>
        <w:gridCol w:w="1728"/>
        <w:gridCol w:w="1728"/>
        <w:gridCol w:w="1728"/>
        <w:gridCol w:w="1781"/>
        <w:gridCol w:w="1728"/>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location</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winter_dec_jan</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spring_mar_apr</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autumn_oct_nov</w:t>
            </w:r>
          </w:p>
        </w:tc>
        <w:tc>
          <w:tcPr>
            <w:tcW w:w="1728" w:type="dxa"/>
          </w:tcPr>
          <w:p w:rsidR="00746260" w:rsidRDefault="003C590B">
            <w:pPr>
              <w:cnfStyle w:val="100000000000" w:firstRow="1" w:lastRow="0" w:firstColumn="0" w:lastColumn="0" w:oddVBand="0" w:evenVBand="0" w:oddHBand="0" w:evenHBand="0" w:firstRowFirstColumn="0" w:firstRowLastColumn="0" w:lastRowFirstColumn="0" w:lastRowLastColumn="0"/>
            </w:pPr>
            <w:r>
              <w:t>annual</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biratnagar</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0.1106</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0.0719</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0.1081</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0.1298</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dhulikhel</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nan</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0.1668</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kathmandu</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0.1323</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0.0942</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0.1226</w:t>
            </w:r>
          </w:p>
        </w:tc>
        <w:tc>
          <w:tcPr>
            <w:tcW w:w="1728" w:type="dxa"/>
          </w:tcPr>
          <w:p w:rsidR="00746260" w:rsidRDefault="003C590B">
            <w:pPr>
              <w:cnfStyle w:val="000000100000" w:firstRow="0" w:lastRow="0" w:firstColumn="0" w:lastColumn="0" w:oddVBand="0" w:evenVBand="0" w:oddHBand="1" w:evenHBand="0" w:firstRowFirstColumn="0" w:firstRowLastColumn="0" w:lastRowFirstColumn="0" w:lastRowLastColumn="0"/>
            </w:pPr>
            <w:r>
              <w:t>0.1987</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746260" w:rsidRDefault="003C590B">
            <w:r>
              <w:t>taplejung</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0.1626</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0.1146</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0.1018</w:t>
            </w:r>
          </w:p>
        </w:tc>
        <w:tc>
          <w:tcPr>
            <w:tcW w:w="1728" w:type="dxa"/>
          </w:tcPr>
          <w:p w:rsidR="00746260" w:rsidRDefault="003C590B">
            <w:pPr>
              <w:cnfStyle w:val="000000010000" w:firstRow="0" w:lastRow="0" w:firstColumn="0" w:lastColumn="0" w:oddVBand="0" w:evenVBand="0" w:oddHBand="0" w:evenHBand="1" w:firstRowFirstColumn="0" w:firstRowLastColumn="0" w:lastRowFirstColumn="0" w:lastRowLastColumn="0"/>
            </w:pPr>
            <w:r>
              <w:t>0.1639</w:t>
            </w:r>
          </w:p>
        </w:tc>
      </w:tr>
    </w:tbl>
    <w:p w:rsidR="00746260" w:rsidRDefault="00746260"/>
    <w:p w:rsidR="00746260" w:rsidRDefault="003C590B">
      <w:r>
        <w:rPr>
          <w:i/>
        </w:rPr>
        <w:t xml:space="preserve">Source: </w:t>
      </w:r>
      <w:r>
        <w:rPr>
          <w:i/>
        </w:rPr>
        <w:t>outputs/audit/step5_season_location.csv. Spring is the cheapest operating window (highest irradiance + moderate humidity). Annual values lie between extremes. The Kathmandu annual SEC is the highest among the three primary locations due to lower irradiance</w:t>
      </w:r>
      <w:r>
        <w:rPr>
          <w:i/>
        </w:rPr>
        <w:t xml:space="preserve"> and altitude effects on dry-air density.</w:t>
      </w:r>
    </w:p>
    <w:p w:rsidR="00746260" w:rsidRDefault="003C590B">
      <w:pPr>
        <w:jc w:val="center"/>
      </w:pPr>
      <w:r>
        <w:rPr>
          <w:noProof/>
        </w:rPr>
        <w:drawing>
          <wp:inline distT="0" distB="0" distL="0" distR="0">
            <wp:extent cx="5400000" cy="27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season_heatmap.png"/>
                    <pic:cNvPicPr/>
                  </pic:nvPicPr>
                  <pic:blipFill>
                    <a:blip r:embed="rId14"/>
                    <a:stretch>
                      <a:fillRect/>
                    </a:stretch>
                  </pic:blipFill>
                  <pic:spPr>
                    <a:xfrm>
                      <a:off x="0" y="0"/>
                      <a:ext cx="5400000" cy="2700000"/>
                    </a:xfrm>
                    <a:prstGeom prst="rect">
                      <a:avLst/>
                    </a:prstGeom>
                  </pic:spPr>
                </pic:pic>
              </a:graphicData>
            </a:graphic>
          </wp:inline>
        </w:drawing>
      </w:r>
    </w:p>
    <w:p w:rsidR="00746260" w:rsidRDefault="003C590B">
      <w:pPr>
        <w:jc w:val="center"/>
      </w:pPr>
      <w:r>
        <w:rPr>
          <w:i/>
          <w:sz w:val="20"/>
        </w:rPr>
        <w:t>Figure 6.2. E2 SEC heatmap, season x location.</w:t>
      </w:r>
    </w:p>
    <w:p w:rsidR="00746260" w:rsidRDefault="003C590B">
      <w:pPr>
        <w:pStyle w:val="Heading1"/>
      </w:pPr>
      <w:r>
        <w:t>7. Numerical audit and anomaly hunt</w:t>
      </w:r>
    </w:p>
    <w:p w:rsidR="00746260" w:rsidRDefault="003C590B">
      <w:r>
        <w:t xml:space="preserve">92 canonical CSVs (E1/E2/E3 x all locations x all seasons x {no-VPD, VPD}) were screened for seven classes of anomaly: (i) </w:t>
      </w:r>
      <w:r>
        <w:t>per-step first-law residual |Q_cond - (Q_evap + 0.95 W_comp)| / expected &gt; 2 %; (ii) chamber-inlet temperature deficit &gt; 0.5 K below T_set when not in transient or bypass; (iii) heat-exchanger oversizing flags; (iv) HP at-capacity flags; (v) VPD bypass chu</w:t>
      </w:r>
      <w:r>
        <w:t>rn (&gt; 6 switches/h vs 600 s dwell); (vi) E1/E2 cross-config consistency (Q_HRX and Q_solar_usable must be identical); (vii) 72 h time-limit DNF.</w:t>
      </w:r>
    </w:p>
    <w:p w:rsidR="003C590B" w:rsidRDefault="003C590B"/>
    <w:p w:rsidR="003C590B" w:rsidRDefault="003C590B">
      <w:bookmarkStart w:id="0" w:name="_GoBack"/>
      <w:bookmarkEnd w:id="0"/>
    </w:p>
    <w:p w:rsidR="00746260" w:rsidRDefault="003C590B">
      <w:pPr>
        <w:pStyle w:val="Heading2"/>
      </w:pPr>
      <w:r>
        <w:lastRenderedPageBreak/>
        <w:t>7.1 All flagged cases</w:t>
      </w:r>
    </w:p>
    <w:tbl>
      <w:tblPr>
        <w:tblStyle w:val="LightGrid-Accent1"/>
        <w:tblW w:w="0" w:type="auto"/>
        <w:tblLook w:val="04A0" w:firstRow="1" w:lastRow="0" w:firstColumn="1" w:lastColumn="0" w:noHBand="0" w:noVBand="1"/>
      </w:tblPr>
      <w:tblGrid>
        <w:gridCol w:w="3922"/>
        <w:gridCol w:w="1787"/>
        <w:gridCol w:w="1737"/>
        <w:gridCol w:w="141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case</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kind</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detail</w:t>
            </w:r>
          </w:p>
        </w:tc>
        <w:tc>
          <w:tcPr>
            <w:tcW w:w="2160" w:type="dxa"/>
          </w:tcPr>
          <w:p w:rsidR="00746260" w:rsidRDefault="003C590B">
            <w:pPr>
              <w:cnfStyle w:val="100000000000" w:firstRow="1" w:lastRow="0" w:firstColumn="0" w:lastColumn="0" w:oddVBand="0" w:evenVBand="0" w:oddHBand="0" w:evenHBand="0" w:firstRowFirstColumn="0" w:firstRowLastColumn="0" w:lastRowFirstColumn="0" w:lastRowLastColumn="0"/>
            </w:pPr>
            <w:r>
              <w:t>severity</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E2/biratnagar/autumn_oct_nov/vpd</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DNF_72h_limit</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reached 72.0h t</w:t>
            </w:r>
            <w:r>
              <w:t>ime limit; m_w=18.99kg</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warn</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E3/biratnagar/autumn_oct_nov/no_vpd</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COP_outlier</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low(&lt;1.5)=0 / hi(&gt;8)=9 of 723</w:t>
            </w:r>
          </w:p>
        </w:tc>
        <w:tc>
          <w:tcPr>
            <w:tcW w:w="2160" w:type="dxa"/>
          </w:tcPr>
          <w:p w:rsidR="00746260" w:rsidRDefault="003C590B">
            <w:pPr>
              <w:cnfStyle w:val="000000010000" w:firstRow="0" w:lastRow="0" w:firstColumn="0" w:lastColumn="0" w:oddVBand="0" w:evenVBand="0" w:oddHBand="0" w:evenHBand="1" w:firstRowFirstColumn="0" w:firstRowLastColumn="0" w:lastRowFirstColumn="0" w:lastRowLastColumn="0"/>
            </w:pPr>
            <w:r>
              <w:t>info</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746260" w:rsidRDefault="003C590B">
            <w:r>
              <w:t>E3/biratnagar/autumn_oct_nov/vpd</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COP_outlier</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low(&lt;1.5)=0 / hi(&gt;8)=7 of 247</w:t>
            </w:r>
          </w:p>
        </w:tc>
        <w:tc>
          <w:tcPr>
            <w:tcW w:w="2160" w:type="dxa"/>
          </w:tcPr>
          <w:p w:rsidR="00746260" w:rsidRDefault="003C590B">
            <w:pPr>
              <w:cnfStyle w:val="000000100000" w:firstRow="0" w:lastRow="0" w:firstColumn="0" w:lastColumn="0" w:oddVBand="0" w:evenVBand="0" w:oddHBand="1" w:evenHBand="0" w:firstRowFirstColumn="0" w:firstRowLastColumn="0" w:lastRowFirstColumn="0" w:lastRowLastColumn="0"/>
            </w:pPr>
            <w:r>
              <w:t>info</w:t>
            </w:r>
          </w:p>
        </w:tc>
      </w:tr>
    </w:tbl>
    <w:p w:rsidR="00746260" w:rsidRDefault="00746260"/>
    <w:p w:rsidR="00746260" w:rsidRDefault="003C590B">
      <w:r>
        <w:rPr>
          <w:i/>
        </w:rPr>
        <w:t>Source: outputs/audit/step6_anomaly_log.csv. Findings: zero f</w:t>
      </w:r>
      <w:r>
        <w:rPr>
          <w:i/>
        </w:rPr>
        <w:t>irst-law violations across 92 runs, zero capacity flags, zero T_chamber deficits, zero bypass-churn warnings, zero E1&lt;-&gt;E2 energy-bookkeeping discrepancies. The single warn case (E2 / BTN / autumn / VPD) reaches 99 % of the moisture target at the 72 h cuto</w:t>
      </w:r>
      <w:r>
        <w:rPr>
          <w:i/>
        </w:rPr>
        <w:t>ff and is a known humid-lowland stress case. The two info-level COP &gt; 8 flags are E3 partial-lift transients at very low T_cond targets, which are physically valid (high Carnot ceiling).</w:t>
      </w:r>
    </w:p>
    <w:p w:rsidR="00746260" w:rsidRDefault="003C590B">
      <w:pPr>
        <w:pStyle w:val="Heading1"/>
      </w:pPr>
      <w:r>
        <w:t>8. Plot and data index</w:t>
      </w:r>
    </w:p>
    <w:p w:rsidR="00746260" w:rsidRDefault="003C590B">
      <w:r>
        <w:rPr>
          <w:i/>
        </w:rPr>
        <w:t xml:space="preserve">Every figure referenced in this document plus </w:t>
      </w:r>
      <w:r>
        <w:rPr>
          <w:i/>
        </w:rPr>
        <w:t>a few additional E2-vs-E3 deep dives.</w:t>
      </w:r>
    </w:p>
    <w:tbl>
      <w:tblPr>
        <w:tblStyle w:val="LightGrid-Accent1"/>
        <w:tblW w:w="0" w:type="auto"/>
        <w:tblLook w:val="04A0" w:firstRow="1" w:lastRow="0" w:firstColumn="1" w:lastColumn="0" w:noHBand="0" w:noVBand="1"/>
      </w:tblPr>
      <w:tblGrid>
        <w:gridCol w:w="4461"/>
        <w:gridCol w:w="432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filename (plots/_audit/)</w:t>
            </w:r>
          </w:p>
        </w:tc>
        <w:tc>
          <w:tcPr>
            <w:tcW w:w="4320" w:type="dxa"/>
          </w:tcPr>
          <w:p w:rsidR="00746260" w:rsidRDefault="003C590B">
            <w:pPr>
              <w:cnfStyle w:val="100000000000" w:firstRow="1" w:lastRow="0" w:firstColumn="0" w:lastColumn="0" w:oddVBand="0" w:evenVBand="0" w:oddHBand="0" w:evenHBand="0" w:firstRowFirstColumn="0" w:firstRowLastColumn="0" w:lastRowFirstColumn="0" w:lastRowLastColumn="0"/>
            </w:pPr>
            <w:r>
              <w:t>what it shows</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step3_energy_split_E1.png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Energy split, E1, all 13 cases</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step3_energy_split_E2.png</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Energy split, E2, all 13 cases</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step3_energy_split_E3.png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Energy split, E3, all 13 cases</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w:t>
            </w:r>
            <w:r>
              <w:t>2e_air_states_E1_kathmandu_annual.png</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E1 psychrometric trace, KTM annual</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step2e_air_states_E2_kathmandu_annual.png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E2 psychrometric trace, KTM annual</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step2e_air_states_E3_kathmandu_annual.png</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E3 psychrometric trace, KTM annual</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step4_vpd_sweep.png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 xml:space="preserve">VPD </w:t>
            </w:r>
            <w:r>
              <w:t>threshold sweep on E2 (KTM annual + BTN autumn)</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step5_area_sweep.png</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E2 collector area sweep, BTN/KTM/TPJ</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step5_season_heatmap.png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E2 SEC heatmap, season x location</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e2_vs_e3_cumulative_kathmandu.png</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E2 vs E3 cumulative drying / energy, KTM annual</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e2_vs</w:t>
            </w:r>
            <w:r>
              <w:t>_e3_power_kathmandu.png</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E2 vs E3 instantaneous power streams, KTM annual</w:t>
            </w:r>
          </w:p>
        </w:tc>
      </w:tr>
    </w:tbl>
    <w:p w:rsidR="00746260" w:rsidRDefault="00746260"/>
    <w:p w:rsidR="00746260" w:rsidRDefault="00746260"/>
    <w:p w:rsidR="00746260" w:rsidRDefault="003C590B">
      <w:r>
        <w:rPr>
          <w:b/>
        </w:rPr>
        <w:t>Backing data files:</w:t>
      </w:r>
    </w:p>
    <w:tbl>
      <w:tblPr>
        <w:tblStyle w:val="LightGrid-Accent1"/>
        <w:tblW w:w="0" w:type="auto"/>
        <w:tblLook w:val="04A0" w:firstRow="1" w:lastRow="0" w:firstColumn="1" w:lastColumn="0" w:noHBand="0" w:noVBand="1"/>
      </w:tblPr>
      <w:tblGrid>
        <w:gridCol w:w="4320"/>
        <w:gridCol w:w="4320"/>
      </w:tblGrid>
      <w:tr w:rsidR="00746260" w:rsidTr="00746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filename (outputs/audit/)</w:t>
            </w:r>
          </w:p>
        </w:tc>
        <w:tc>
          <w:tcPr>
            <w:tcW w:w="4320" w:type="dxa"/>
          </w:tcPr>
          <w:p w:rsidR="00746260" w:rsidRDefault="003C590B">
            <w:pPr>
              <w:cnfStyle w:val="100000000000" w:firstRow="1" w:lastRow="0" w:firstColumn="0" w:lastColumn="0" w:oddVBand="0" w:evenVBand="0" w:oddHBand="0" w:evenHBand="0" w:firstRowFirstColumn="0" w:firstRowLastColumn="0" w:lastRowFirstColumn="0" w:lastRowLastColumn="0"/>
            </w:pPr>
            <w:r>
              <w:t>what it contains</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step3_energy_split.csv</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Per-case energy partition (39 rows)</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lastRenderedPageBreak/>
              <w:t>step4_pivot_SEC_no_vpd.csv</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SEC pivot, no-VPD (13 cases)</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step4_pivot_SEC_vpd.csv</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SEC pivot, VPD-on (12 cases)</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step4_winrate.csv</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Win count per KPI</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step4_vpd_sweep.csv</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VPD threshold sweep raw data</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step5_area_sweep.csv</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E2 collector area sweep</w:t>
            </w:r>
          </w:p>
        </w:tc>
      </w:tr>
      <w:tr w:rsidR="00746260" w:rsidTr="00746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step5_season_location.csv</w:t>
            </w:r>
          </w:p>
        </w:tc>
        <w:tc>
          <w:tcPr>
            <w:tcW w:w="4320" w:type="dxa"/>
          </w:tcPr>
          <w:p w:rsidR="00746260" w:rsidRDefault="003C590B">
            <w:pPr>
              <w:cnfStyle w:val="000000100000" w:firstRow="0" w:lastRow="0" w:firstColumn="0" w:lastColumn="0" w:oddVBand="0" w:evenVBand="0" w:oddHBand="1" w:evenHBand="0" w:firstRowFirstColumn="0" w:firstRowLastColumn="0" w:lastRowFirstColumn="0" w:lastRowLastColumn="0"/>
            </w:pPr>
            <w:r>
              <w:t>E2 season x location grid</w:t>
            </w:r>
          </w:p>
        </w:tc>
      </w:tr>
      <w:tr w:rsidR="00746260" w:rsidTr="007462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746260" w:rsidRDefault="003C590B">
            <w:r>
              <w:t>step6_anomaly_l</w:t>
            </w:r>
            <w:r>
              <w:t>og.csv</w:t>
            </w:r>
          </w:p>
        </w:tc>
        <w:tc>
          <w:tcPr>
            <w:tcW w:w="4320" w:type="dxa"/>
          </w:tcPr>
          <w:p w:rsidR="00746260" w:rsidRDefault="003C590B">
            <w:pPr>
              <w:cnfStyle w:val="000000010000" w:firstRow="0" w:lastRow="0" w:firstColumn="0" w:lastColumn="0" w:oddVBand="0" w:evenVBand="0" w:oddHBand="0" w:evenHBand="1" w:firstRowFirstColumn="0" w:firstRowLastColumn="0" w:lastRowFirstColumn="0" w:lastRowLastColumn="0"/>
            </w:pPr>
            <w:r>
              <w:t>Anomaly hunt findings</w:t>
            </w:r>
          </w:p>
        </w:tc>
      </w:tr>
    </w:tbl>
    <w:p w:rsidR="00746260" w:rsidRDefault="00746260"/>
    <w:sectPr w:rsidR="007462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90B"/>
    <w:rsid w:val="007462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D0B83"/>
  <w14:defaultImageDpi w14:val="300"/>
  <w15:docId w15:val="{529366FF-99A8-462B-B003-6B073DBA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6FDA9-FD7B-464D-8C43-A61CACF48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3</cp:revision>
  <dcterms:created xsi:type="dcterms:W3CDTF">2013-12-23T23:15:00Z</dcterms:created>
  <dcterms:modified xsi:type="dcterms:W3CDTF">2026-05-08T09:44:00Z</dcterms:modified>
  <cp:category/>
</cp:coreProperties>
</file>