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CHAPTER 3: METHODOLOGY</w:t>
      </w:r>
    </w:p>
    <w:p>
      <w:pPr>
        <w:pStyle w:val="Heading1"/>
      </w:pPr>
      <w:r>
        <w:rPr>
          <w:color w:val="000000"/>
        </w:rPr>
        <w:t>3.1 System Description</w:t>
      </w:r>
    </w:p>
    <w:p>
      <w:pPr>
        <w:spacing w:after="120"/>
      </w:pPr>
      <w:r>
        <w:rPr>
          <w:rFonts w:ascii="Times New Roman" w:hAnsi="Times New Roman"/>
          <w:b w:val="0"/>
          <w:i w:val="0"/>
          <w:sz w:val="22"/>
        </w:rPr>
        <w:t>This chapter presents the mathematical models and simulation methodology developed for the Solar-Assisted Heat Pump Dryer (SAHPD) system. The SAHPD is designed for drying apple slices in the climatic conditions of Nepal, with the objective of minimizing electrical energy consumption while maintaining consistent product quality. The system integrates three thermal energy sources: a vapor compression heat pump (R134a refrigerant), flat-plate solar air collectors, and a sensible heat recovery exchanger (HRX). Ten distinct system configurations are evaluated, each representing a different integration strategy for these components.</w:t>
      </w:r>
    </w:p>
    <w:p>
      <w:pPr>
        <w:spacing w:after="120"/>
      </w:pPr>
      <w:r>
        <w:rPr>
          <w:rFonts w:ascii="Times New Roman" w:hAnsi="Times New Roman"/>
          <w:b w:val="0"/>
          <w:i w:val="0"/>
          <w:sz w:val="22"/>
        </w:rPr>
        <w:t>The dryer operates as a through-flow system with 10 trays arranged in series. Conditioned air enters at the top tray (Tray 1) and exits from the bottom tray (Tray 10), progressively picking up moisture from the product. The drying chamber geometry is determined by the product loading and target air velocity. The simulation advances in discrete timesteps of 60 seconds, updating air conditions, product moisture, and energy flows at each step until all trays reach the target moisture content.</w:t>
      </w:r>
    </w:p>
    <w:p>
      <w:pPr>
        <w:pStyle w:val="Heading2"/>
      </w:pPr>
      <w:r>
        <w:rPr>
          <w:color w:val="000000"/>
        </w:rPr>
        <w:t>3.1.1 Design Parameters</w:t>
      </w:r>
    </w:p>
    <w:p>
      <w:pPr>
        <w:spacing w:after="80"/>
      </w:pPr>
      <w:r>
        <w:rPr>
          <w:rFonts w:ascii="Times New Roman" w:hAnsi="Times New Roman"/>
          <w:b/>
          <w:sz w:val="20"/>
        </w:rPr>
        <w:t>Table 3.1: Design parameters for the SAHPD system</w:t>
      </w:r>
    </w:p>
    <w:tbl>
      <w:tblPr>
        <w:tblStyle w:val="LightShading-Accent1"/>
        <w:tblW w:type="auto" w:w="0"/>
        <w:jc w:val="center"/>
        <w:tblLook w:firstColumn="1" w:firstRow="1" w:lastColumn="0" w:lastRow="0" w:noHBand="0" w:noVBand="1" w:val="04A0"/>
      </w:tblPr>
      <w:tblGrid>
        <w:gridCol w:w="2275"/>
        <w:gridCol w:w="2275"/>
        <w:gridCol w:w="2275"/>
        <w:gridCol w:w="2275"/>
      </w:tblGrid>
      <w:tr>
        <w:tc>
          <w:tcPr>
            <w:tcW w:type="dxa" w:w="2275"/>
          </w:tcPr>
          <w:p>
            <w:pPr>
              <w:jc w:val="center"/>
            </w:pPr>
            <w:r>
              <w:rPr>
                <w:rFonts w:ascii="Times New Roman" w:hAnsi="Times New Roman"/>
                <w:b/>
                <w:sz w:val="18"/>
              </w:rPr>
              <w:t>Parameter</w:t>
            </w:r>
          </w:p>
        </w:tc>
        <w:tc>
          <w:tcPr>
            <w:tcW w:type="dxa" w:w="2275"/>
          </w:tcPr>
          <w:p>
            <w:pPr>
              <w:jc w:val="center"/>
            </w:pPr>
            <w:r>
              <w:rPr>
                <w:rFonts w:ascii="Times New Roman" w:hAnsi="Times New Roman"/>
                <w:b/>
                <w:sz w:val="18"/>
              </w:rPr>
              <w:t>Symbol</w:t>
            </w:r>
          </w:p>
        </w:tc>
        <w:tc>
          <w:tcPr>
            <w:tcW w:type="dxa" w:w="2275"/>
          </w:tcPr>
          <w:p>
            <w:pPr>
              <w:jc w:val="center"/>
            </w:pPr>
            <w:r>
              <w:rPr>
                <w:rFonts w:ascii="Times New Roman" w:hAnsi="Times New Roman"/>
                <w:b/>
                <w:sz w:val="18"/>
              </w:rPr>
              <w:t>Value</w:t>
            </w:r>
          </w:p>
        </w:tc>
        <w:tc>
          <w:tcPr>
            <w:tcW w:type="dxa" w:w="2275"/>
          </w:tcPr>
          <w:p>
            <w:pPr>
              <w:jc w:val="center"/>
            </w:pPr>
            <w:r>
              <w:rPr>
                <w:rFonts w:ascii="Times New Roman" w:hAnsi="Times New Roman"/>
                <w:b/>
                <w:sz w:val="18"/>
              </w:rPr>
              <w:t>Unit</w:t>
            </w:r>
          </w:p>
        </w:tc>
      </w:tr>
      <w:tr>
        <w:tc>
          <w:tcPr>
            <w:tcW w:type="dxa" w:w="2275"/>
          </w:tcPr>
          <w:p>
            <w:pPr>
              <w:jc w:val="center"/>
            </w:pPr>
            <w:r>
              <w:rPr>
                <w:rFonts w:ascii="Times New Roman" w:hAnsi="Times New Roman"/>
                <w:sz w:val="18"/>
              </w:rPr>
              <w:t>Target drying temperature</w:t>
            </w:r>
          </w:p>
        </w:tc>
        <w:tc>
          <w:tcPr>
            <w:tcW w:type="dxa" w:w="2275"/>
          </w:tcPr>
          <w:p>
            <w:pPr>
              <w:jc w:val="center"/>
            </w:pPr>
            <w:r>
              <w:rPr>
                <w:rFonts w:ascii="Times New Roman" w:hAnsi="Times New Roman"/>
                <w:sz w:val="18"/>
              </w:rPr>
              <w:t>T_set</w:t>
            </w:r>
          </w:p>
        </w:tc>
        <w:tc>
          <w:tcPr>
            <w:tcW w:type="dxa" w:w="2275"/>
          </w:tcPr>
          <w:p>
            <w:pPr>
              <w:jc w:val="center"/>
            </w:pPr>
            <w:r>
              <w:rPr>
                <w:rFonts w:ascii="Times New Roman" w:hAnsi="Times New Roman"/>
                <w:sz w:val="18"/>
              </w:rPr>
              <w:t>45</w:t>
            </w:r>
          </w:p>
        </w:tc>
        <w:tc>
          <w:tcPr>
            <w:tcW w:type="dxa" w:w="2275"/>
          </w:tcPr>
          <w:p>
            <w:pPr>
              <w:jc w:val="center"/>
            </w:pPr>
            <w:r>
              <w:rPr>
                <w:rFonts w:ascii="Times New Roman" w:hAnsi="Times New Roman"/>
                <w:sz w:val="18"/>
              </w:rPr>
              <w:t>°C</w:t>
            </w:r>
          </w:p>
        </w:tc>
      </w:tr>
      <w:tr>
        <w:tc>
          <w:tcPr>
            <w:tcW w:type="dxa" w:w="2275"/>
          </w:tcPr>
          <w:p>
            <w:pPr>
              <w:jc w:val="center"/>
            </w:pPr>
            <w:r>
              <w:rPr>
                <w:rFonts w:ascii="Times New Roman" w:hAnsi="Times New Roman"/>
                <w:sz w:val="18"/>
              </w:rPr>
              <w:t>Air velocity (through trays)</w:t>
            </w:r>
          </w:p>
        </w:tc>
        <w:tc>
          <w:tcPr>
            <w:tcW w:type="dxa" w:w="2275"/>
          </w:tcPr>
          <w:p>
            <w:pPr>
              <w:jc w:val="center"/>
            </w:pPr>
            <w:r>
              <w:rPr>
                <w:rFonts w:ascii="Times New Roman" w:hAnsi="Times New Roman"/>
                <w:sz w:val="18"/>
              </w:rPr>
              <w:t>v</w:t>
            </w:r>
          </w:p>
        </w:tc>
        <w:tc>
          <w:tcPr>
            <w:tcW w:type="dxa" w:w="2275"/>
          </w:tcPr>
          <w:p>
            <w:pPr>
              <w:jc w:val="center"/>
            </w:pPr>
            <w:r>
              <w:rPr>
                <w:rFonts w:ascii="Times New Roman" w:hAnsi="Times New Roman"/>
                <w:sz w:val="18"/>
              </w:rPr>
              <w:t>1.1</w:t>
            </w:r>
          </w:p>
        </w:tc>
        <w:tc>
          <w:tcPr>
            <w:tcW w:type="dxa" w:w="2275"/>
          </w:tcPr>
          <w:p>
            <w:pPr>
              <w:jc w:val="center"/>
            </w:pPr>
            <w:r>
              <w:rPr>
                <w:rFonts w:ascii="Times New Roman" w:hAnsi="Times New Roman"/>
                <w:sz w:val="18"/>
              </w:rPr>
              <w:t>m/s</w:t>
            </w:r>
          </w:p>
        </w:tc>
      </w:tr>
      <w:tr>
        <w:tc>
          <w:tcPr>
            <w:tcW w:type="dxa" w:w="2275"/>
          </w:tcPr>
          <w:p>
            <w:pPr>
              <w:jc w:val="center"/>
            </w:pPr>
            <w:r>
              <w:rPr>
                <w:rFonts w:ascii="Times New Roman" w:hAnsi="Times New Roman"/>
                <w:sz w:val="18"/>
              </w:rPr>
              <w:t>Dry mass of product</w:t>
            </w:r>
          </w:p>
        </w:tc>
        <w:tc>
          <w:tcPr>
            <w:tcW w:type="dxa" w:w="2275"/>
          </w:tcPr>
          <w:p>
            <w:pPr>
              <w:jc w:val="center"/>
            </w:pPr>
            <w:r>
              <w:rPr>
                <w:rFonts w:ascii="Times New Roman" w:hAnsi="Times New Roman"/>
                <w:sz w:val="18"/>
              </w:rPr>
              <w:t>m_p,dry</w:t>
            </w:r>
          </w:p>
        </w:tc>
        <w:tc>
          <w:tcPr>
            <w:tcW w:type="dxa" w:w="2275"/>
          </w:tcPr>
          <w:p>
            <w:pPr>
              <w:jc w:val="center"/>
            </w:pPr>
            <w:r>
              <w:rPr>
                <w:rFonts w:ascii="Times New Roman" w:hAnsi="Times New Roman"/>
                <w:sz w:val="18"/>
              </w:rPr>
              <w:t>3.0</w:t>
            </w:r>
          </w:p>
        </w:tc>
        <w:tc>
          <w:tcPr>
            <w:tcW w:type="dxa" w:w="2275"/>
          </w:tcPr>
          <w:p>
            <w:pPr>
              <w:jc w:val="center"/>
            </w:pPr>
            <w:r>
              <w:rPr>
                <w:rFonts w:ascii="Times New Roman" w:hAnsi="Times New Roman"/>
                <w:sz w:val="18"/>
              </w:rPr>
              <w:t>kg</w:t>
            </w:r>
          </w:p>
        </w:tc>
      </w:tr>
      <w:tr>
        <w:tc>
          <w:tcPr>
            <w:tcW w:type="dxa" w:w="2275"/>
          </w:tcPr>
          <w:p>
            <w:pPr>
              <w:jc w:val="center"/>
            </w:pPr>
            <w:r>
              <w:rPr>
                <w:rFonts w:ascii="Times New Roman" w:hAnsi="Times New Roman"/>
                <w:sz w:val="18"/>
              </w:rPr>
              <w:t>Initial moisture content (d.b.)</w:t>
            </w:r>
          </w:p>
        </w:tc>
        <w:tc>
          <w:tcPr>
            <w:tcW w:type="dxa" w:w="2275"/>
          </w:tcPr>
          <w:p>
            <w:pPr>
              <w:jc w:val="center"/>
            </w:pPr>
            <w:r>
              <w:rPr>
                <w:rFonts w:ascii="Times New Roman" w:hAnsi="Times New Roman"/>
                <w:sz w:val="18"/>
              </w:rPr>
              <w:t>X_0</w:t>
            </w:r>
          </w:p>
        </w:tc>
        <w:tc>
          <w:tcPr>
            <w:tcW w:type="dxa" w:w="2275"/>
          </w:tcPr>
          <w:p>
            <w:pPr>
              <w:jc w:val="center"/>
            </w:pPr>
            <w:r>
              <w:rPr>
                <w:rFonts w:ascii="Times New Roman" w:hAnsi="Times New Roman"/>
                <w:sz w:val="18"/>
              </w:rPr>
              <w:t>6.5</w:t>
            </w:r>
          </w:p>
        </w:tc>
        <w:tc>
          <w:tcPr>
            <w:tcW w:type="dxa" w:w="2275"/>
          </w:tcPr>
          <w:p>
            <w:pPr>
              <w:jc w:val="center"/>
            </w:pPr>
            <w:r>
              <w:rPr>
                <w:rFonts w:ascii="Times New Roman" w:hAnsi="Times New Roman"/>
                <w:sz w:val="18"/>
              </w:rPr>
              <w:t>kg/kg</w:t>
            </w:r>
          </w:p>
        </w:tc>
      </w:tr>
      <w:tr>
        <w:tc>
          <w:tcPr>
            <w:tcW w:type="dxa" w:w="2275"/>
          </w:tcPr>
          <w:p>
            <w:pPr>
              <w:jc w:val="center"/>
            </w:pPr>
            <w:r>
              <w:rPr>
                <w:rFonts w:ascii="Times New Roman" w:hAnsi="Times New Roman"/>
                <w:sz w:val="18"/>
              </w:rPr>
              <w:t>Final moisture content (d.b.)</w:t>
            </w:r>
          </w:p>
        </w:tc>
        <w:tc>
          <w:tcPr>
            <w:tcW w:type="dxa" w:w="2275"/>
          </w:tcPr>
          <w:p>
            <w:pPr>
              <w:jc w:val="center"/>
            </w:pPr>
            <w:r>
              <w:rPr>
                <w:rFonts w:ascii="Times New Roman" w:hAnsi="Times New Roman"/>
                <w:sz w:val="18"/>
              </w:rPr>
              <w:t>X_f</w:t>
            </w:r>
          </w:p>
        </w:tc>
        <w:tc>
          <w:tcPr>
            <w:tcW w:type="dxa" w:w="2275"/>
          </w:tcPr>
          <w:p>
            <w:pPr>
              <w:jc w:val="center"/>
            </w:pPr>
            <w:r>
              <w:rPr>
                <w:rFonts w:ascii="Times New Roman" w:hAnsi="Times New Roman"/>
                <w:sz w:val="18"/>
              </w:rPr>
              <w:t>0.10</w:t>
            </w:r>
          </w:p>
        </w:tc>
        <w:tc>
          <w:tcPr>
            <w:tcW w:type="dxa" w:w="2275"/>
          </w:tcPr>
          <w:p>
            <w:pPr>
              <w:jc w:val="center"/>
            </w:pPr>
            <w:r>
              <w:rPr>
                <w:rFonts w:ascii="Times New Roman" w:hAnsi="Times New Roman"/>
                <w:sz w:val="18"/>
              </w:rPr>
              <w:t>kg/kg</w:t>
            </w:r>
          </w:p>
        </w:tc>
      </w:tr>
      <w:tr>
        <w:tc>
          <w:tcPr>
            <w:tcW w:type="dxa" w:w="2275"/>
          </w:tcPr>
          <w:p>
            <w:pPr>
              <w:jc w:val="center"/>
            </w:pPr>
            <w:r>
              <w:rPr>
                <w:rFonts w:ascii="Times New Roman" w:hAnsi="Times New Roman"/>
                <w:sz w:val="18"/>
              </w:rPr>
              <w:t>Product (apple slices)</w:t>
            </w:r>
          </w:p>
        </w:tc>
        <w:tc>
          <w:tcPr>
            <w:tcW w:type="dxa" w:w="2275"/>
          </w:tcPr>
          <w:p>
            <w:pPr>
              <w:jc w:val="center"/>
            </w:pPr>
            <w:r>
              <w:rPr>
                <w:rFonts w:ascii="Times New Roman" w:hAnsi="Times New Roman"/>
                <w:sz w:val="18"/>
              </w:rPr>
              <w:t>thickness</w:t>
            </w:r>
          </w:p>
        </w:tc>
        <w:tc>
          <w:tcPr>
            <w:tcW w:type="dxa" w:w="2275"/>
          </w:tcPr>
          <w:p>
            <w:pPr>
              <w:jc w:val="center"/>
            </w:pPr>
            <w:r>
              <w:rPr>
                <w:rFonts w:ascii="Times New Roman" w:hAnsi="Times New Roman"/>
                <w:sz w:val="18"/>
              </w:rPr>
              <w:t>6</w:t>
            </w:r>
          </w:p>
        </w:tc>
        <w:tc>
          <w:tcPr>
            <w:tcW w:type="dxa" w:w="2275"/>
          </w:tcPr>
          <w:p>
            <w:pPr>
              <w:jc w:val="center"/>
            </w:pPr>
            <w:r>
              <w:rPr>
                <w:rFonts w:ascii="Times New Roman" w:hAnsi="Times New Roman"/>
                <w:sz w:val="18"/>
              </w:rPr>
              <w:t>mm</w:t>
            </w:r>
          </w:p>
        </w:tc>
      </w:tr>
      <w:tr>
        <w:tc>
          <w:tcPr>
            <w:tcW w:type="dxa" w:w="2275"/>
          </w:tcPr>
          <w:p>
            <w:pPr>
              <w:jc w:val="center"/>
            </w:pPr>
            <w:r>
              <w:rPr>
                <w:rFonts w:ascii="Times New Roman" w:hAnsi="Times New Roman"/>
                <w:sz w:val="18"/>
              </w:rPr>
              <w:t>Number of trays</w:t>
            </w:r>
          </w:p>
        </w:tc>
        <w:tc>
          <w:tcPr>
            <w:tcW w:type="dxa" w:w="2275"/>
          </w:tcPr>
          <w:p>
            <w:pPr>
              <w:jc w:val="center"/>
            </w:pPr>
            <w:r>
              <w:rPr>
                <w:rFonts w:ascii="Times New Roman" w:hAnsi="Times New Roman"/>
                <w:sz w:val="18"/>
              </w:rPr>
              <w:t>N</w:t>
            </w:r>
          </w:p>
        </w:tc>
        <w:tc>
          <w:tcPr>
            <w:tcW w:type="dxa" w:w="2275"/>
          </w:tcPr>
          <w:p>
            <w:pPr>
              <w:jc w:val="center"/>
            </w:pPr>
            <w:r>
              <w:rPr>
                <w:rFonts w:ascii="Times New Roman" w:hAnsi="Times New Roman"/>
                <w:sz w:val="18"/>
              </w:rPr>
              <w:t>10</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Loading density</w:t>
            </w:r>
          </w:p>
        </w:tc>
        <w:tc>
          <w:tcPr>
            <w:tcW w:type="dxa" w:w="2275"/>
          </w:tcPr>
          <w:p>
            <w:pPr>
              <w:jc w:val="center"/>
            </w:pPr>
            <w:r>
              <w:rPr>
                <w:rFonts w:ascii="Times New Roman" w:hAnsi="Times New Roman"/>
                <w:sz w:val="18"/>
              </w:rPr>
              <w:t>ρ_load</w:t>
            </w:r>
          </w:p>
        </w:tc>
        <w:tc>
          <w:tcPr>
            <w:tcW w:type="dxa" w:w="2275"/>
          </w:tcPr>
          <w:p>
            <w:pPr>
              <w:jc w:val="center"/>
            </w:pPr>
            <w:r>
              <w:rPr>
                <w:rFonts w:ascii="Times New Roman" w:hAnsi="Times New Roman"/>
                <w:sz w:val="18"/>
              </w:rPr>
              <w:t>3.6</w:t>
            </w:r>
          </w:p>
        </w:tc>
        <w:tc>
          <w:tcPr>
            <w:tcW w:type="dxa" w:w="2275"/>
          </w:tcPr>
          <w:p>
            <w:pPr>
              <w:jc w:val="center"/>
            </w:pPr>
            <w:r>
              <w:rPr>
                <w:rFonts w:ascii="Times New Roman" w:hAnsi="Times New Roman"/>
                <w:sz w:val="18"/>
              </w:rPr>
              <w:t>kg_fresh/m²</w:t>
            </w:r>
          </w:p>
        </w:tc>
      </w:tr>
      <w:tr>
        <w:tc>
          <w:tcPr>
            <w:tcW w:type="dxa" w:w="2275"/>
          </w:tcPr>
          <w:p>
            <w:pPr>
              <w:jc w:val="center"/>
            </w:pPr>
            <w:r>
              <w:rPr>
                <w:rFonts w:ascii="Times New Roman" w:hAnsi="Times New Roman"/>
                <w:sz w:val="18"/>
              </w:rPr>
              <w:t>Timestep</w:t>
            </w:r>
          </w:p>
        </w:tc>
        <w:tc>
          <w:tcPr>
            <w:tcW w:type="dxa" w:w="2275"/>
          </w:tcPr>
          <w:p>
            <w:pPr>
              <w:jc w:val="center"/>
            </w:pPr>
            <w:r>
              <w:rPr>
                <w:rFonts w:ascii="Times New Roman" w:hAnsi="Times New Roman"/>
                <w:sz w:val="18"/>
              </w:rPr>
              <w:t>Δt</w:t>
            </w:r>
          </w:p>
        </w:tc>
        <w:tc>
          <w:tcPr>
            <w:tcW w:type="dxa" w:w="2275"/>
          </w:tcPr>
          <w:p>
            <w:pPr>
              <w:jc w:val="center"/>
            </w:pPr>
            <w:r>
              <w:rPr>
                <w:rFonts w:ascii="Times New Roman" w:hAnsi="Times New Roman"/>
                <w:sz w:val="18"/>
              </w:rPr>
              <w:t>60</w:t>
            </w:r>
          </w:p>
        </w:tc>
        <w:tc>
          <w:tcPr>
            <w:tcW w:type="dxa" w:w="2275"/>
          </w:tcPr>
          <w:p>
            <w:pPr>
              <w:jc w:val="center"/>
            </w:pPr>
            <w:r>
              <w:rPr>
                <w:rFonts w:ascii="Times New Roman" w:hAnsi="Times New Roman"/>
                <w:sz w:val="18"/>
              </w:rPr>
              <w:t>s</w:t>
            </w:r>
          </w:p>
        </w:tc>
      </w:tr>
      <w:tr>
        <w:tc>
          <w:tcPr>
            <w:tcW w:type="dxa" w:w="2275"/>
          </w:tcPr>
          <w:p>
            <w:pPr>
              <w:jc w:val="center"/>
            </w:pPr>
            <w:r>
              <w:rPr>
                <w:rFonts w:ascii="Times New Roman" w:hAnsi="Times New Roman"/>
                <w:sz w:val="18"/>
              </w:rPr>
              <w:t>Maximum simulation time</w:t>
            </w:r>
          </w:p>
        </w:tc>
        <w:tc>
          <w:tcPr>
            <w:tcW w:type="dxa" w:w="2275"/>
          </w:tcPr>
          <w:p>
            <w:pPr>
              <w:jc w:val="center"/>
            </w:pPr>
            <w:r>
              <w:rPr>
                <w:rFonts w:ascii="Times New Roman" w:hAnsi="Times New Roman"/>
                <w:sz w:val="18"/>
              </w:rPr>
              <w:t>t_max</w:t>
            </w:r>
          </w:p>
        </w:tc>
        <w:tc>
          <w:tcPr>
            <w:tcW w:type="dxa" w:w="2275"/>
          </w:tcPr>
          <w:p>
            <w:pPr>
              <w:jc w:val="center"/>
            </w:pPr>
            <w:r>
              <w:rPr>
                <w:rFonts w:ascii="Times New Roman" w:hAnsi="Times New Roman"/>
                <w:sz w:val="18"/>
              </w:rPr>
              <w:t>72</w:t>
            </w:r>
          </w:p>
        </w:tc>
        <w:tc>
          <w:tcPr>
            <w:tcW w:type="dxa" w:w="2275"/>
          </w:tcPr>
          <w:p>
            <w:pPr>
              <w:jc w:val="center"/>
            </w:pPr>
            <w:r>
              <w:rPr>
                <w:rFonts w:ascii="Times New Roman" w:hAnsi="Times New Roman"/>
                <w:sz w:val="18"/>
              </w:rPr>
              <w:t>h</w:t>
            </w:r>
          </w:p>
        </w:tc>
      </w:tr>
      <w:tr>
        <w:tc>
          <w:tcPr>
            <w:tcW w:type="dxa" w:w="2275"/>
          </w:tcPr>
          <w:p>
            <w:pPr>
              <w:jc w:val="center"/>
            </w:pPr>
            <w:r>
              <w:rPr>
                <w:rFonts w:ascii="Times New Roman" w:hAnsi="Times New Roman"/>
                <w:sz w:val="18"/>
              </w:rPr>
              <w:t>Refrigerant</w:t>
            </w:r>
          </w:p>
        </w:tc>
        <w:tc>
          <w:tcPr>
            <w:tcW w:type="dxa" w:w="2275"/>
          </w:tcPr>
          <w:p>
            <w:pPr>
              <w:jc w:val="center"/>
            </w:pPr>
            <w:r>
              <w:rPr>
                <w:rFonts w:ascii="Times New Roman" w:hAnsi="Times New Roman"/>
                <w:sz w:val="18"/>
              </w:rPr>
              <w:t>-</w:t>
            </w:r>
          </w:p>
        </w:tc>
        <w:tc>
          <w:tcPr>
            <w:tcW w:type="dxa" w:w="2275"/>
          </w:tcPr>
          <w:p>
            <w:pPr>
              <w:jc w:val="center"/>
            </w:pPr>
            <w:r>
              <w:rPr>
                <w:rFonts w:ascii="Times New Roman" w:hAnsi="Times New Roman"/>
                <w:sz w:val="18"/>
              </w:rPr>
              <w:t>R134a</w:t>
            </w:r>
          </w:p>
        </w:tc>
        <w:tc>
          <w:tcPr>
            <w:tcW w:type="dxa" w:w="2275"/>
          </w:tcPr>
          <w:p>
            <w:pPr>
              <w:jc w:val="center"/>
            </w:pPr>
            <w:r>
              <w:rPr>
                <w:rFonts w:ascii="Times New Roman" w:hAnsi="Times New Roman"/>
                <w:sz w:val="18"/>
              </w:rPr>
              <w:t>-</w:t>
            </w:r>
          </w:p>
        </w:tc>
      </w:tr>
    </w:tbl>
    <w:p/>
    <w:p>
      <w:pPr>
        <w:pStyle w:val="Heading2"/>
      </w:pPr>
      <w:r>
        <w:rPr>
          <w:color w:val="000000"/>
        </w:rPr>
        <w:t>3.1.2 Drying Chamber Geometry</w:t>
      </w:r>
    </w:p>
    <w:p>
      <w:pPr>
        <w:spacing w:after="120"/>
      </w:pPr>
      <w:r>
        <w:rPr>
          <w:rFonts w:ascii="Times New Roman" w:hAnsi="Times New Roman"/>
          <w:b w:val="0"/>
          <w:i w:val="0"/>
          <w:sz w:val="22"/>
        </w:rPr>
        <w:t>The drying chamber dimensions and air mass flow rate are derived from the product specifications rather than being specified independently. This ensures physical consistency between the product loading, air velocity, and mass flow rate.</w:t>
      </w:r>
    </w:p>
    <w:p>
      <w:pPr>
        <w:spacing w:after="120"/>
      </w:pPr>
      <w:r>
        <w:rPr>
          <w:rFonts w:ascii="Times New Roman" w:hAnsi="Times New Roman"/>
          <w:b w:val="0"/>
          <w:i w:val="0"/>
          <w:sz w:val="22"/>
        </w:rPr>
        <w:t>The fresh mass of product loaded per tray is:</w:t>
      </w:r>
    </w:p>
    <w:p>
      <w:pPr>
        <w:spacing w:before="60" w:after="60"/>
        <w:jc w:val="center"/>
      </w:pPr>
      <w:r>
        <w:rPr>
          <w:rFonts w:ascii="Cambria Math" w:hAnsi="Cambria Math"/>
          <w:sz w:val="22"/>
        </w:rPr>
        <w:t>m_fresh = m_p,dry × (1 + X_0) / N</w:t>
      </w:r>
      <w:r>
        <w:rPr>
          <w:rFonts w:ascii="Times New Roman" w:hAnsi="Times New Roman"/>
          <w:sz w:val="20"/>
        </w:rPr>
        <w:t xml:space="preserve">    (3.1)</w:t>
      </w:r>
    </w:p>
    <w:p>
      <w:pPr>
        <w:spacing w:after="120"/>
      </w:pPr>
      <w:r>
        <w:rPr>
          <w:rFonts w:ascii="Times New Roman" w:hAnsi="Times New Roman"/>
          <w:b w:val="0"/>
          <w:i w:val="0"/>
          <w:sz w:val="22"/>
        </w:rPr>
        <w:t>The tray area is determined from the loading density:</w:t>
      </w:r>
    </w:p>
    <w:p>
      <w:pPr>
        <w:spacing w:before="60" w:after="60"/>
        <w:jc w:val="center"/>
      </w:pPr>
      <w:r>
        <w:rPr>
          <w:rFonts w:ascii="Cambria Math" w:hAnsi="Cambria Math"/>
          <w:sz w:val="22"/>
        </w:rPr>
        <w:t>A_tray = m_fresh,tray / ρ_load</w:t>
      </w:r>
      <w:r>
        <w:rPr>
          <w:rFonts w:ascii="Times New Roman" w:hAnsi="Times New Roman"/>
          <w:sz w:val="20"/>
        </w:rPr>
        <w:t xml:space="preserve">    (3.2)</w:t>
      </w:r>
    </w:p>
    <w:p>
      <w:pPr>
        <w:spacing w:after="120"/>
      </w:pPr>
      <w:r>
        <w:rPr>
          <w:rFonts w:ascii="Times New Roman" w:hAnsi="Times New Roman"/>
          <w:b w:val="0"/>
          <w:i w:val="0"/>
          <w:sz w:val="22"/>
        </w:rPr>
        <w:t>For the through-flow configuration, air flows horizontally through the gap between trays. The cross-sectional area for air flow is:</w:t>
      </w:r>
    </w:p>
    <w:p>
      <w:pPr>
        <w:spacing w:before="60" w:after="60"/>
        <w:jc w:val="center"/>
      </w:pPr>
      <w:r>
        <w:rPr>
          <w:rFonts w:ascii="Cambria Math" w:hAnsi="Cambria Math"/>
          <w:sz w:val="22"/>
        </w:rPr>
        <w:t>A_cross = √A_tray × δ_gap</w:t>
      </w:r>
      <w:r>
        <w:rPr>
          <w:rFonts w:ascii="Times New Roman" w:hAnsi="Times New Roman"/>
          <w:sz w:val="20"/>
        </w:rPr>
        <w:t xml:space="preserve">    (3.3)</w:t>
      </w:r>
    </w:p>
    <w:p>
      <w:pPr>
        <w:spacing w:after="120"/>
      </w:pPr>
      <w:r>
        <w:rPr>
          <w:rFonts w:ascii="Times New Roman" w:hAnsi="Times New Roman"/>
          <w:b w:val="0"/>
          <w:i w:val="0"/>
          <w:sz w:val="22"/>
        </w:rPr>
        <w:t>where δ_gap = 0.12 m is the vertical gap between trays. The dry air mass flow rate is then:</w:t>
      </w:r>
    </w:p>
    <w:p>
      <w:pPr>
        <w:spacing w:before="60" w:after="60"/>
        <w:jc w:val="center"/>
      </w:pPr>
      <w:r>
        <w:rPr>
          <w:rFonts w:ascii="Cambria Math" w:hAnsi="Cambria Math"/>
          <w:sz w:val="22"/>
        </w:rPr>
        <w:t>ṁ_da = ρ_air × v × A_cross</w:t>
      </w:r>
      <w:r>
        <w:rPr>
          <w:rFonts w:ascii="Times New Roman" w:hAnsi="Times New Roman"/>
          <w:sz w:val="20"/>
        </w:rPr>
        <w:t xml:space="preserve">    (3.4)</w:t>
      </w:r>
    </w:p>
    <w:p>
      <w:pPr>
        <w:spacing w:after="120"/>
      </w:pPr>
      <w:r>
        <w:rPr>
          <w:rFonts w:ascii="Times New Roman" w:hAnsi="Times New Roman"/>
          <w:b w:val="0"/>
          <w:i w:val="0"/>
          <w:sz w:val="22"/>
        </w:rPr>
        <w:t>The air density ρ_air is computed from the ideal gas law at the drying temperature and local atmospheric pressure:</w:t>
      </w:r>
    </w:p>
    <w:p>
      <w:pPr>
        <w:spacing w:before="60" w:after="60"/>
        <w:jc w:val="center"/>
      </w:pPr>
      <w:r>
        <w:rPr>
          <w:rFonts w:ascii="Cambria Math" w:hAnsi="Cambria Math"/>
          <w:sz w:val="22"/>
        </w:rPr>
        <w:t>ρ_air = P_atm / (R_da × T_set,K)</w:t>
      </w:r>
      <w:r>
        <w:rPr>
          <w:rFonts w:ascii="Times New Roman" w:hAnsi="Times New Roman"/>
          <w:sz w:val="20"/>
        </w:rPr>
        <w:t xml:space="preserve">    (3.5)</w:t>
      </w:r>
    </w:p>
    <w:p>
      <w:pPr>
        <w:spacing w:after="120"/>
      </w:pPr>
      <w:r>
        <w:rPr>
          <w:rFonts w:ascii="Times New Roman" w:hAnsi="Times New Roman"/>
          <w:b w:val="0"/>
          <w:i w:val="0"/>
          <w:sz w:val="22"/>
        </w:rPr>
        <w:t>where P_atm is obtained from the standard atmosphere model based on site elevation:</w:t>
      </w:r>
    </w:p>
    <w:p>
      <w:pPr>
        <w:spacing w:before="60" w:after="60"/>
        <w:jc w:val="center"/>
      </w:pPr>
      <w:r>
        <w:rPr>
          <w:rFonts w:ascii="Cambria Math" w:hAnsi="Cambria Math"/>
          <w:sz w:val="22"/>
        </w:rPr>
        <w:t>P_atm = 101325 × (1 − 0.0065 × z / 288.15)^5.2561</w:t>
      </w:r>
      <w:r>
        <w:rPr>
          <w:rFonts w:ascii="Times New Roman" w:hAnsi="Times New Roman"/>
          <w:sz w:val="20"/>
        </w:rPr>
        <w:t xml:space="preserve">    (3.6)</w:t>
      </w:r>
    </w:p>
    <w:p>
      <w:pPr>
        <w:pStyle w:val="Heading1"/>
      </w:pPr>
      <w:r>
        <w:rPr>
          <w:color w:val="000000"/>
        </w:rPr>
        <w:t>3.2 System Configurations</w:t>
      </w:r>
    </w:p>
    <w:p>
      <w:pPr>
        <w:spacing w:after="120"/>
      </w:pPr>
      <w:r>
        <w:rPr>
          <w:rFonts w:ascii="Times New Roman" w:hAnsi="Times New Roman"/>
          <w:b w:val="0"/>
          <w:i w:val="0"/>
          <w:sz w:val="22"/>
        </w:rPr>
        <w:t>Ten configurations are investigated, grouped into four families based on their thermal energy integration strategy. All configurations share the same drying chamber, product loading, and kinetics model. They differ only in how the inlet air is conditioned before entering the chamber.</w:t>
      </w:r>
    </w:p>
    <w:p>
      <w:pPr>
        <w:pStyle w:val="Heading2"/>
      </w:pPr>
      <w:r>
        <w:rPr>
          <w:color w:val="000000"/>
        </w:rPr>
        <w:t>3.2.1 Configuration A: Heat Pump Convective Dryer (Baseline)</w:t>
      </w:r>
    </w:p>
    <w:p>
      <w:pPr>
        <w:spacing w:after="120"/>
      </w:pPr>
      <w:r>
        <w:rPr>
          <w:rFonts w:ascii="Times New Roman" w:hAnsi="Times New Roman"/>
          <w:b w:val="0"/>
          <w:i w:val="0"/>
          <w:sz w:val="22"/>
        </w:rPr>
        <w:t>Configuration A serves as the baseline heat pump convective dryer (HPCD). In the open-loop mode (r = 0), ambient air is drawn through the heat pump condenser, heated to the target temperature, passed through the drying chamber, and exhausted to the atmosphere. The heat pump evaporator draws heat from a separate ambient air stream.</w:t>
      </w:r>
    </w:p>
    <w:p>
      <w:pPr>
        <w:spacing w:after="120"/>
      </w:pPr>
      <w:r>
        <w:rPr>
          <w:rFonts w:ascii="Times New Roman" w:hAnsi="Times New Roman"/>
          <w:b w:val="0"/>
          <w:i w:val="0"/>
          <w:sz w:val="22"/>
        </w:rPr>
        <w:t>Air flow path (open-loop):</w:t>
      </w:r>
    </w:p>
    <w:p>
      <w:pPr>
        <w:spacing w:before="60" w:after="60"/>
        <w:jc w:val="center"/>
      </w:pPr>
      <w:r>
        <w:rPr>
          <w:rFonts w:ascii="Cambria Math" w:hAnsi="Cambria Math"/>
          <w:sz w:val="22"/>
        </w:rPr>
        <w:t>Ambient → HP Condenser (→45°C) → Chamber → Exhaust</w:t>
      </w:r>
    </w:p>
    <w:p>
      <w:pPr>
        <w:spacing w:after="120"/>
      </w:pPr>
      <w:r>
        <w:rPr>
          <w:rFonts w:ascii="Times New Roman" w:hAnsi="Times New Roman"/>
          <w:b w:val="0"/>
          <w:i w:val="0"/>
          <w:sz w:val="22"/>
        </w:rPr>
        <w:t>In this mode, the evaporator and condenser air streams are independent. The heat pump is sized to deliver the required condenser heat duty:</w:t>
      </w:r>
    </w:p>
    <w:p>
      <w:pPr>
        <w:spacing w:before="60" w:after="60"/>
        <w:jc w:val="center"/>
      </w:pPr>
      <w:r>
        <w:rPr>
          <w:rFonts w:ascii="Cambria Math" w:hAnsi="Cambria Math"/>
          <w:sz w:val="22"/>
        </w:rPr>
        <w:t>Q_cond = ṁ_da × (h_out − h_in)</w:t>
      </w:r>
      <w:r>
        <w:rPr>
          <w:rFonts w:ascii="Times New Roman" w:hAnsi="Times New Roman"/>
          <w:sz w:val="20"/>
        </w:rPr>
        <w:t xml:space="preserve">    (3.7)</w:t>
      </w:r>
    </w:p>
    <w:p>
      <w:pPr>
        <w:spacing w:after="120"/>
      </w:pPr>
      <w:r>
        <w:rPr>
          <w:rFonts w:ascii="Times New Roman" w:hAnsi="Times New Roman"/>
          <w:b w:val="0"/>
          <w:i w:val="0"/>
          <w:sz w:val="22"/>
        </w:rPr>
        <w:t>where h_out and h_in are the moist air enthalpies at the condenser outlet (T_set) and inlet (T_amb), respectively.</w:t>
      </w:r>
    </w:p>
    <w:p>
      <w:pPr>
        <w:pStyle w:val="Heading2"/>
      </w:pPr>
      <w:r>
        <w:rPr>
          <w:color w:val="000000"/>
        </w:rPr>
        <w:t>3.2.2 Configuration B: Solar + Heat Pump Series</w:t>
      </w:r>
    </w:p>
    <w:p>
      <w:pPr>
        <w:spacing w:after="120"/>
      </w:pPr>
      <w:r>
        <w:rPr>
          <w:rFonts w:ascii="Times New Roman" w:hAnsi="Times New Roman"/>
          <w:b w:val="0"/>
          <w:i w:val="0"/>
          <w:sz w:val="22"/>
        </w:rPr>
        <w:t>Configuration B introduces a flat-plate solar air collector in series before the heat pump condenser. The solar collector preheats ambient air, reducing the thermal lift required from the heat pump. During periods of high solar irradiance, the collector may heat the air to or above the target temperature, allowing the compressor to operate at reduced capacity or shut off entirely.</w:t>
      </w:r>
    </w:p>
    <w:p>
      <w:pPr>
        <w:spacing w:after="120"/>
      </w:pPr>
      <w:r>
        <w:rPr>
          <w:rFonts w:ascii="Times New Roman" w:hAnsi="Times New Roman"/>
          <w:b w:val="0"/>
          <w:i w:val="0"/>
          <w:sz w:val="22"/>
        </w:rPr>
        <w:t>Air flow path:</w:t>
      </w:r>
    </w:p>
    <w:p>
      <w:pPr>
        <w:spacing w:before="60" w:after="60"/>
        <w:jc w:val="center"/>
      </w:pPr>
      <w:r>
        <w:rPr>
          <w:rFonts w:ascii="Cambria Math" w:hAnsi="Cambria Math"/>
          <w:sz w:val="22"/>
        </w:rPr>
        <w:t>Ambient → Solar Collector → HP Condenser (→45°C) → Chamber → Exhaust</w:t>
      </w:r>
    </w:p>
    <w:p>
      <w:pPr>
        <w:spacing w:after="120"/>
      </w:pPr>
      <w:r>
        <w:rPr>
          <w:rFonts w:ascii="Times New Roman" w:hAnsi="Times New Roman"/>
          <w:b w:val="0"/>
          <w:i w:val="0"/>
          <w:sz w:val="22"/>
        </w:rPr>
        <w:t>The condenser heat duty is reduced to:</w:t>
      </w:r>
    </w:p>
    <w:p>
      <w:pPr>
        <w:spacing w:before="60" w:after="60"/>
        <w:jc w:val="center"/>
      </w:pPr>
      <w:r>
        <w:rPr>
          <w:rFonts w:ascii="Cambria Math" w:hAnsi="Cambria Math"/>
          <w:sz w:val="22"/>
        </w:rPr>
        <w:t>Q_cond = ṁ_da × c_p × max(T_set − T_solar,out, 0)</w:t>
      </w:r>
      <w:r>
        <w:rPr>
          <w:rFonts w:ascii="Times New Roman" w:hAnsi="Times New Roman"/>
          <w:sz w:val="20"/>
        </w:rPr>
        <w:t xml:space="preserve">    (3.8)</w:t>
      </w:r>
    </w:p>
    <w:p>
      <w:pPr>
        <w:pStyle w:val="Heading2"/>
      </w:pPr>
      <w:r>
        <w:rPr>
          <w:color w:val="000000"/>
        </w:rPr>
        <w:t>3.2.3 Configurations C1 and C2: Solar-Assisted Evaporator</w:t>
      </w:r>
    </w:p>
    <w:p>
      <w:pPr>
        <w:spacing w:after="120"/>
      </w:pPr>
      <w:r>
        <w:rPr>
          <w:rFonts w:ascii="Times New Roman" w:hAnsi="Times New Roman"/>
          <w:b w:val="0"/>
          <w:i w:val="0"/>
          <w:sz w:val="22"/>
        </w:rPr>
        <w:t>Configurations C1 and C2 direct solar-heated air to the heat pump evaporator rather than the condenser. By raising the evaporator source temperature, these configurations increase the heat pump COP, reducing compressor work for the same condenser heat delivery. C1 and C2 differ in the mixing point of recirculated and ambient air relative to the solar collector:</w:t>
      </w:r>
    </w:p>
    <w:p>
      <w:pPr>
        <w:pStyle w:val="ListBullet"/>
      </w:pPr>
      <w:r>
        <w:rPr>
          <w:rFonts w:ascii="Times New Roman" w:hAnsi="Times New Roman"/>
          <w:b/>
          <w:sz w:val="22"/>
        </w:rPr>
        <w:t>Config</w:t>
      </w:r>
      <w:r>
        <w:rPr>
          <w:rFonts w:ascii="Times New Roman" w:hAnsi="Times New Roman"/>
          <w:sz w:val="22"/>
        </w:rPr>
        <w:t xml:space="preserve"> C1: ambient air is mixed with recirculated air before the solar collector.</w:t>
      </w:r>
    </w:p>
    <w:p>
      <w:pPr>
        <w:pStyle w:val="ListBullet"/>
      </w:pPr>
      <w:r>
        <w:rPr>
          <w:rFonts w:ascii="Times New Roman" w:hAnsi="Times New Roman"/>
          <w:b/>
          <w:sz w:val="22"/>
        </w:rPr>
        <w:t>Config</w:t>
      </w:r>
      <w:r>
        <w:rPr>
          <w:rFonts w:ascii="Times New Roman" w:hAnsi="Times New Roman"/>
          <w:sz w:val="22"/>
        </w:rPr>
        <w:t xml:space="preserve"> C2: ambient air passes through the solar collector first, then mixes with recirculated air before the evaporator.</w:t>
      </w:r>
    </w:p>
    <w:p>
      <w:pPr>
        <w:pStyle w:val="Heading2"/>
      </w:pPr>
      <w:r>
        <w:rPr>
          <w:color w:val="000000"/>
        </w:rPr>
        <w:t>3.2.4 Configurations D1, D2, and D3: Heat Recovery Exchanger + HP</w:t>
      </w:r>
    </w:p>
    <w:p>
      <w:pPr>
        <w:spacing w:after="120"/>
      </w:pPr>
      <w:r>
        <w:rPr>
          <w:rFonts w:ascii="Times New Roman" w:hAnsi="Times New Roman"/>
          <w:b w:val="0"/>
          <w:i w:val="0"/>
          <w:sz w:val="22"/>
        </w:rPr>
        <w:t>The D-family configurations introduce a sensible heat recovery exchanger (HRX) between the warm, humid chamber exhaust and the cold, dry incoming ambient air. The HRX pre-warms the inlet air using waste heat from the exhaust, reducing the thermal load on the heat pump condenser. All D configurations operate in open-loop mode (r = 0) with no solar collector.</w:t>
      </w:r>
    </w:p>
    <w:p>
      <w:pPr>
        <w:pStyle w:val="ListBullet"/>
      </w:pPr>
      <w:r>
        <w:rPr>
          <w:rFonts w:ascii="Times New Roman" w:hAnsi="Times New Roman"/>
          <w:b/>
          <w:sz w:val="22"/>
        </w:rPr>
        <w:t>Config</w:t>
      </w:r>
      <w:r>
        <w:rPr>
          <w:rFonts w:ascii="Times New Roman" w:hAnsi="Times New Roman"/>
          <w:sz w:val="22"/>
        </w:rPr>
        <w:t xml:space="preserve"> D1: Ambient air is heated by HRX, then by the HP condenser. Evaporator uses separate ambient air.</w:t>
      </w:r>
    </w:p>
    <w:p>
      <w:pPr>
        <w:pStyle w:val="ListBullet"/>
      </w:pPr>
      <w:r>
        <w:rPr>
          <w:rFonts w:ascii="Times New Roman" w:hAnsi="Times New Roman"/>
          <w:b/>
          <w:sz w:val="22"/>
        </w:rPr>
        <w:t>Config</w:t>
      </w:r>
      <w:r>
        <w:rPr>
          <w:rFonts w:ascii="Times New Roman" w:hAnsi="Times New Roman"/>
          <w:sz w:val="22"/>
        </w:rPr>
        <w:t xml:space="preserve"> D2: Same as D1, but the evaporator air stream includes a dynamic ambient supplement derived from the exhaust composition.</w:t>
      </w:r>
    </w:p>
    <w:p>
      <w:pPr>
        <w:pStyle w:val="ListBullet"/>
      </w:pPr>
      <w:r>
        <w:rPr>
          <w:rFonts w:ascii="Times New Roman" w:hAnsi="Times New Roman"/>
          <w:b/>
          <w:sz w:val="22"/>
        </w:rPr>
        <w:t>Config</w:t>
      </w:r>
      <w:r>
        <w:rPr>
          <w:rFonts w:ascii="Times New Roman" w:hAnsi="Times New Roman"/>
          <w:sz w:val="22"/>
        </w:rPr>
        <w:t xml:space="preserve"> D3: Air streams are swapped — exhaust passes through the HRX hot side then to the condenser; ambient passes through HRX cold side then to the evaporator.</w:t>
      </w:r>
    </w:p>
    <w:p>
      <w:pPr>
        <w:spacing w:after="120"/>
      </w:pPr>
      <w:r>
        <w:rPr>
          <w:rFonts w:ascii="Times New Roman" w:hAnsi="Times New Roman"/>
          <w:b w:val="0"/>
          <w:i w:val="0"/>
          <w:sz w:val="22"/>
        </w:rPr>
        <w:t>Air flow path (D1):</w:t>
      </w:r>
    </w:p>
    <w:p>
      <w:pPr>
        <w:spacing w:before="60" w:after="60"/>
        <w:jc w:val="center"/>
      </w:pPr>
      <w:r>
        <w:rPr>
          <w:rFonts w:ascii="Cambria Math" w:hAnsi="Cambria Math"/>
          <w:sz w:val="22"/>
        </w:rPr>
        <w:t>Ambient → HRX(cold) → HP Condenser → Chamber → HRX(hot) → Exhaust</w:t>
      </w:r>
    </w:p>
    <w:p>
      <w:pPr>
        <w:pStyle w:val="Heading2"/>
      </w:pPr>
      <w:r>
        <w:rPr>
          <w:color w:val="000000"/>
        </w:rPr>
        <w:t>3.2.5 Configurations E1, E2, and E3: HRX + Solar + HP</w:t>
      </w:r>
    </w:p>
    <w:p>
      <w:pPr>
        <w:spacing w:after="120"/>
      </w:pPr>
      <w:r>
        <w:rPr>
          <w:rFonts w:ascii="Times New Roman" w:hAnsi="Times New Roman"/>
          <w:b w:val="0"/>
          <w:i w:val="0"/>
          <w:sz w:val="22"/>
        </w:rPr>
        <w:t>The E-family configurations combine all three thermal recovery strategies: heat recovery, solar preheating, and heat pump conditioning. These represent the most thermally integrated designs.</w:t>
      </w:r>
    </w:p>
    <w:p>
      <w:pPr>
        <w:pStyle w:val="ListBullet"/>
      </w:pPr>
      <w:r>
        <w:rPr>
          <w:rFonts w:ascii="Times New Roman" w:hAnsi="Times New Roman"/>
          <w:b/>
          <w:sz w:val="22"/>
        </w:rPr>
        <w:t>Config</w:t>
      </w:r>
      <w:r>
        <w:rPr>
          <w:rFonts w:ascii="Times New Roman" w:hAnsi="Times New Roman"/>
          <w:sz w:val="22"/>
        </w:rPr>
        <w:t xml:space="preserve"> E1: Ambient → HRX → Solar → HP Condenser → Chamber. Evaporator uses separate ambient air.</w:t>
      </w:r>
    </w:p>
    <w:p>
      <w:pPr>
        <w:pStyle w:val="ListBullet"/>
      </w:pPr>
      <w:r>
        <w:rPr>
          <w:rFonts w:ascii="Times New Roman" w:hAnsi="Times New Roman"/>
          <w:b/>
          <w:sz w:val="22"/>
        </w:rPr>
        <w:t>Config</w:t>
      </w:r>
      <w:r>
        <w:rPr>
          <w:rFonts w:ascii="Times New Roman" w:hAnsi="Times New Roman"/>
          <w:sz w:val="22"/>
        </w:rPr>
        <w:t xml:space="preserve"> E2: Same condenser path as E1, but the evaporator air stream is supplemented with ambient air via an iterative sizing procedure.</w:t>
      </w:r>
    </w:p>
    <w:p>
      <w:pPr>
        <w:pStyle w:val="ListBullet"/>
      </w:pPr>
      <w:r>
        <w:rPr>
          <w:rFonts w:ascii="Times New Roman" w:hAnsi="Times New Roman"/>
          <w:b/>
          <w:sz w:val="22"/>
        </w:rPr>
        <w:t>Config</w:t>
      </w:r>
      <w:r>
        <w:rPr>
          <w:rFonts w:ascii="Times New Roman" w:hAnsi="Times New Roman"/>
          <w:sz w:val="22"/>
        </w:rPr>
        <w:t xml:space="preserve"> E3: Solar collector heats the evaporator stream instead of the condenser stream. Ambient → HRX → HP Condenser → Chamber; Exhaust+Ambient → Solar → Evaporator.</w:t>
      </w:r>
    </w:p>
    <w:p>
      <w:pPr>
        <w:spacing w:after="80"/>
      </w:pPr>
      <w:r>
        <w:rPr>
          <w:rFonts w:ascii="Times New Roman" w:hAnsi="Times New Roman"/>
          <w:b/>
          <w:sz w:val="20"/>
        </w:rPr>
        <w:t>Table 3.2: Summary of SAHPD configurations</w:t>
      </w:r>
    </w:p>
    <w:tbl>
      <w:tblPr>
        <w:tblStyle w:val="LightShading-Accent1"/>
        <w:tblW w:type="auto" w:w="0"/>
        <w:jc w:val="center"/>
        <w:tblLook w:firstColumn="1" w:firstRow="1" w:lastColumn="0" w:lastRow="0" w:noHBand="0" w:noVBand="1" w:val="04A0"/>
      </w:tblPr>
      <w:tblGrid>
        <w:gridCol w:w="1820"/>
        <w:gridCol w:w="1820"/>
        <w:gridCol w:w="1820"/>
        <w:gridCol w:w="1820"/>
        <w:gridCol w:w="1820"/>
      </w:tblGrid>
      <w:tr>
        <w:tc>
          <w:tcPr>
            <w:tcW w:type="dxa" w:w="1820"/>
          </w:tcPr>
          <w:p>
            <w:pPr>
              <w:jc w:val="center"/>
            </w:pPr>
            <w:r>
              <w:rPr>
                <w:rFonts w:ascii="Times New Roman" w:hAnsi="Times New Roman"/>
                <w:b/>
                <w:sz w:val="18"/>
              </w:rPr>
              <w:t>Config</w:t>
            </w:r>
          </w:p>
        </w:tc>
        <w:tc>
          <w:tcPr>
            <w:tcW w:type="dxa" w:w="1820"/>
          </w:tcPr>
          <w:p>
            <w:pPr>
              <w:jc w:val="center"/>
            </w:pPr>
            <w:r>
              <w:rPr>
                <w:rFonts w:ascii="Times New Roman" w:hAnsi="Times New Roman"/>
                <w:b/>
                <w:sz w:val="18"/>
              </w:rPr>
              <w:t>Solar</w:t>
            </w:r>
          </w:p>
        </w:tc>
        <w:tc>
          <w:tcPr>
            <w:tcW w:type="dxa" w:w="1820"/>
          </w:tcPr>
          <w:p>
            <w:pPr>
              <w:jc w:val="center"/>
            </w:pPr>
            <w:r>
              <w:rPr>
                <w:rFonts w:ascii="Times New Roman" w:hAnsi="Times New Roman"/>
                <w:b/>
                <w:sz w:val="18"/>
              </w:rPr>
              <w:t>HRX</w:t>
            </w:r>
          </w:p>
        </w:tc>
        <w:tc>
          <w:tcPr>
            <w:tcW w:type="dxa" w:w="1820"/>
          </w:tcPr>
          <w:p>
            <w:pPr>
              <w:jc w:val="center"/>
            </w:pPr>
            <w:r>
              <w:rPr>
                <w:rFonts w:ascii="Times New Roman" w:hAnsi="Times New Roman"/>
                <w:b/>
                <w:sz w:val="18"/>
              </w:rPr>
              <w:t>HP</w:t>
            </w:r>
          </w:p>
        </w:tc>
        <w:tc>
          <w:tcPr>
            <w:tcW w:type="dxa" w:w="1820"/>
          </w:tcPr>
          <w:p>
            <w:pPr>
              <w:jc w:val="center"/>
            </w:pPr>
            <w:r>
              <w:rPr>
                <w:rFonts w:ascii="Times New Roman" w:hAnsi="Times New Roman"/>
                <w:b/>
                <w:sz w:val="18"/>
              </w:rPr>
              <w:t>Key Mechanism</w:t>
            </w:r>
          </w:p>
        </w:tc>
      </w:tr>
      <w:tr>
        <w:tc>
          <w:tcPr>
            <w:tcW w:type="dxa" w:w="1820"/>
          </w:tcPr>
          <w:p>
            <w:pPr>
              <w:jc w:val="center"/>
            </w:pPr>
            <w:r>
              <w:rPr>
                <w:rFonts w:ascii="Times New Roman" w:hAnsi="Times New Roman"/>
                <w:sz w:val="18"/>
              </w:rPr>
              <w:t>A</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HP-only baseline (open-loop)</w:t>
            </w:r>
          </w:p>
        </w:tc>
      </w:tr>
      <w:tr>
        <w:tc>
          <w:tcPr>
            <w:tcW w:type="dxa" w:w="1820"/>
          </w:tcPr>
          <w:p>
            <w:pPr>
              <w:jc w:val="center"/>
            </w:pPr>
            <w:r>
              <w:rPr>
                <w:rFonts w:ascii="Times New Roman" w:hAnsi="Times New Roman"/>
                <w:sz w:val="18"/>
              </w:rPr>
              <w:t>B</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Solar preheats condenser inlet air</w:t>
            </w:r>
          </w:p>
        </w:tc>
      </w:tr>
      <w:tr>
        <w:tc>
          <w:tcPr>
            <w:tcW w:type="dxa" w:w="1820"/>
          </w:tcPr>
          <w:p>
            <w:pPr>
              <w:jc w:val="center"/>
            </w:pPr>
            <w:r>
              <w:rPr>
                <w:rFonts w:ascii="Times New Roman" w:hAnsi="Times New Roman"/>
                <w:sz w:val="18"/>
              </w:rPr>
              <w:t>C1</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Solar preheats evaporator air (mix before solar)</w:t>
            </w:r>
          </w:p>
        </w:tc>
      </w:tr>
      <w:tr>
        <w:tc>
          <w:tcPr>
            <w:tcW w:type="dxa" w:w="1820"/>
          </w:tcPr>
          <w:p>
            <w:pPr>
              <w:jc w:val="center"/>
            </w:pPr>
            <w:r>
              <w:rPr>
                <w:rFonts w:ascii="Times New Roman" w:hAnsi="Times New Roman"/>
                <w:sz w:val="18"/>
              </w:rPr>
              <w:t>C2</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Solar preheats evaporator air (mix after solar)</w:t>
            </w:r>
          </w:p>
        </w:tc>
      </w:tr>
      <w:tr>
        <w:tc>
          <w:tcPr>
            <w:tcW w:type="dxa" w:w="1820"/>
          </w:tcPr>
          <w:p>
            <w:pPr>
              <w:jc w:val="center"/>
            </w:pPr>
            <w:r>
              <w:rPr>
                <w:rFonts w:ascii="Times New Roman" w:hAnsi="Times New Roman"/>
                <w:sz w:val="18"/>
              </w:rPr>
              <w:t>D1</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HRX pre-warms condenser inlet; evap: ambient</w:t>
            </w:r>
          </w:p>
        </w:tc>
      </w:tr>
      <w:tr>
        <w:tc>
          <w:tcPr>
            <w:tcW w:type="dxa" w:w="1820"/>
          </w:tcPr>
          <w:p>
            <w:pPr>
              <w:jc w:val="center"/>
            </w:pPr>
            <w:r>
              <w:rPr>
                <w:rFonts w:ascii="Times New Roman" w:hAnsi="Times New Roman"/>
                <w:sz w:val="18"/>
              </w:rPr>
              <w:t>D2</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HRX pre-warms condenser inlet; evap: dynamic mix</w:t>
            </w:r>
          </w:p>
        </w:tc>
      </w:tr>
      <w:tr>
        <w:tc>
          <w:tcPr>
            <w:tcW w:type="dxa" w:w="1820"/>
          </w:tcPr>
          <w:p>
            <w:pPr>
              <w:jc w:val="center"/>
            </w:pPr>
            <w:r>
              <w:rPr>
                <w:rFonts w:ascii="Times New Roman" w:hAnsi="Times New Roman"/>
                <w:sz w:val="18"/>
              </w:rPr>
              <w:t>D3</w:t>
            </w:r>
          </w:p>
        </w:tc>
        <w:tc>
          <w:tcPr>
            <w:tcW w:type="dxa" w:w="1820"/>
          </w:tcPr>
          <w:p>
            <w:pPr>
              <w:jc w:val="center"/>
            </w:pPr>
            <w:r>
              <w:rPr>
                <w:rFonts w:ascii="Times New Roman" w:hAnsi="Times New Roman"/>
                <w:sz w:val="18"/>
              </w:rPr>
              <w:t>No</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HRX streams swapped (exhaust to condenser)</w:t>
            </w:r>
          </w:p>
        </w:tc>
      </w:tr>
      <w:tr>
        <w:tc>
          <w:tcPr>
            <w:tcW w:type="dxa" w:w="1820"/>
          </w:tcPr>
          <w:p>
            <w:pPr>
              <w:jc w:val="center"/>
            </w:pPr>
            <w:r>
              <w:rPr>
                <w:rFonts w:ascii="Times New Roman" w:hAnsi="Times New Roman"/>
                <w:sz w:val="18"/>
              </w:rPr>
              <w:t>E1</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HRX + Solar on condenser stream; evap: ambient</w:t>
            </w:r>
          </w:p>
        </w:tc>
      </w:tr>
      <w:tr>
        <w:tc>
          <w:tcPr>
            <w:tcW w:type="dxa" w:w="1820"/>
          </w:tcPr>
          <w:p>
            <w:pPr>
              <w:jc w:val="center"/>
            </w:pPr>
            <w:r>
              <w:rPr>
                <w:rFonts w:ascii="Times New Roman" w:hAnsi="Times New Roman"/>
                <w:sz w:val="18"/>
              </w:rPr>
              <w:t>E2</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HRX + Solar on condenser stream; evap: dynamic mix</w:t>
            </w:r>
          </w:p>
        </w:tc>
      </w:tr>
      <w:tr>
        <w:tc>
          <w:tcPr>
            <w:tcW w:type="dxa" w:w="1820"/>
          </w:tcPr>
          <w:p>
            <w:pPr>
              <w:jc w:val="center"/>
            </w:pPr>
            <w:r>
              <w:rPr>
                <w:rFonts w:ascii="Times New Roman" w:hAnsi="Times New Roman"/>
                <w:sz w:val="18"/>
              </w:rPr>
              <w:t>E3</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Yes</w:t>
            </w:r>
          </w:p>
        </w:tc>
        <w:tc>
          <w:tcPr>
            <w:tcW w:type="dxa" w:w="1820"/>
          </w:tcPr>
          <w:p>
            <w:pPr>
              <w:jc w:val="center"/>
            </w:pPr>
            <w:r>
              <w:rPr>
                <w:rFonts w:ascii="Times New Roman" w:hAnsi="Times New Roman"/>
                <w:sz w:val="18"/>
              </w:rPr>
              <w:t>HRX + Solar on evaporator stream</w:t>
            </w:r>
          </w:p>
        </w:tc>
      </w:tr>
    </w:tbl>
    <w:p/>
    <w:p>
      <w:pPr>
        <w:pStyle w:val="Heading1"/>
      </w:pPr>
      <w:r>
        <w:rPr>
          <w:color w:val="000000"/>
        </w:rPr>
        <w:t>3.3 Mathematical Models</w:t>
      </w:r>
    </w:p>
    <w:p>
      <w:pPr>
        <w:pStyle w:val="Heading2"/>
      </w:pPr>
      <w:r>
        <w:rPr>
          <w:color w:val="000000"/>
        </w:rPr>
        <w:t>3.3.1 Psychrometric Model</w:t>
      </w:r>
    </w:p>
    <w:p>
      <w:pPr>
        <w:spacing w:after="120"/>
      </w:pPr>
      <w:r>
        <w:rPr>
          <w:rFonts w:ascii="Times New Roman" w:hAnsi="Times New Roman"/>
          <w:b w:val="0"/>
          <w:i w:val="0"/>
          <w:sz w:val="22"/>
        </w:rPr>
        <w:t>Air properties at every point in the system are described by three interdependent state variables: dry-bulb temperature T (°C), humidity ratio ω (kg water per kg dry air), and relative humidity RH. All psychrometric calculations follow ASHRAE standards (ASHRAE, 2021).</w:t>
      </w:r>
    </w:p>
    <w:p>
      <w:pPr>
        <w:spacing w:after="120"/>
      </w:pPr>
      <w:r>
        <w:rPr>
          <w:rFonts w:ascii="Times New Roman" w:hAnsi="Times New Roman"/>
          <w:b w:val="0"/>
          <w:i w:val="0"/>
          <w:sz w:val="22"/>
        </w:rPr>
        <w:t>Saturation vapor pressure (Tetens correlation, valid −40 to +50°C):</w:t>
      </w:r>
    </w:p>
    <w:p>
      <w:pPr>
        <w:spacing w:before="60" w:after="60"/>
        <w:jc w:val="center"/>
      </w:pPr>
      <w:r>
        <w:rPr>
          <w:rFonts w:ascii="Cambria Math" w:hAnsi="Cambria Math"/>
          <w:sz w:val="22"/>
        </w:rPr>
        <w:t>p_sat(T) = 610.94 × exp(17.625 × T / (T + 243.04))  [Pa]</w:t>
      </w:r>
      <w:r>
        <w:rPr>
          <w:rFonts w:ascii="Times New Roman" w:hAnsi="Times New Roman"/>
          <w:sz w:val="20"/>
        </w:rPr>
        <w:t xml:space="preserve">    (3.9)</w:t>
      </w:r>
    </w:p>
    <w:p>
      <w:pPr>
        <w:spacing w:after="120"/>
      </w:pPr>
      <w:r>
        <w:rPr>
          <w:rFonts w:ascii="Times New Roman" w:hAnsi="Times New Roman"/>
          <w:b w:val="0"/>
          <w:i w:val="0"/>
          <w:sz w:val="22"/>
        </w:rPr>
        <w:t>Humidity ratio from temperature and relative humidity:</w:t>
      </w:r>
    </w:p>
    <w:p>
      <w:pPr>
        <w:spacing w:before="60" w:after="60"/>
        <w:jc w:val="center"/>
      </w:pPr>
      <w:r>
        <w:rPr>
          <w:rFonts w:ascii="Cambria Math" w:hAnsi="Cambria Math"/>
          <w:sz w:val="22"/>
        </w:rPr>
        <w:t>ω = 0.62198 × RH × p_sat(T) / (P_atm − RH × p_sat(T))</w:t>
      </w:r>
      <w:r>
        <w:rPr>
          <w:rFonts w:ascii="Times New Roman" w:hAnsi="Times New Roman"/>
          <w:sz w:val="20"/>
        </w:rPr>
        <w:t xml:space="preserve">    (3.10)</w:t>
      </w:r>
    </w:p>
    <w:p>
      <w:pPr>
        <w:spacing w:after="120"/>
      </w:pPr>
      <w:r>
        <w:rPr>
          <w:rFonts w:ascii="Times New Roman" w:hAnsi="Times New Roman"/>
          <w:b w:val="0"/>
          <w:i w:val="0"/>
          <w:sz w:val="22"/>
        </w:rPr>
        <w:t>Moist air specific enthalpy (per kg dry air):</w:t>
      </w:r>
    </w:p>
    <w:p>
      <w:pPr>
        <w:spacing w:before="60" w:after="60"/>
        <w:jc w:val="center"/>
      </w:pPr>
      <w:r>
        <w:rPr>
          <w:rFonts w:ascii="Cambria Math" w:hAnsi="Cambria Math"/>
          <w:sz w:val="22"/>
        </w:rPr>
        <w:t>h = c_p,da × T + ω × (h_fg,0 + c_p,v × T)  [kJ/kg_da]</w:t>
      </w:r>
      <w:r>
        <w:rPr>
          <w:rFonts w:ascii="Times New Roman" w:hAnsi="Times New Roman"/>
          <w:sz w:val="20"/>
        </w:rPr>
        <w:t xml:space="preserve">    (3.11)</w:t>
      </w:r>
    </w:p>
    <w:p>
      <w:pPr>
        <w:spacing w:after="120"/>
      </w:pPr>
      <w:r>
        <w:rPr>
          <w:rFonts w:ascii="Times New Roman" w:hAnsi="Times New Roman"/>
          <w:b w:val="0"/>
          <w:i w:val="0"/>
          <w:sz w:val="22"/>
        </w:rPr>
        <w:t>where c_p,da = 1.006 kJ/(kg·K) is the specific heat of dry air, c_p,v = 1.86 kJ/(kg·K) is the specific heat of water vapor, and h_fg,0 = 2501 kJ/kg is the latent heat of vaporization at 0°C.</w:t>
      </w:r>
    </w:p>
    <w:p>
      <w:pPr>
        <w:spacing w:after="120"/>
      </w:pPr>
      <w:r>
        <w:rPr>
          <w:rFonts w:ascii="Times New Roman" w:hAnsi="Times New Roman"/>
          <w:b w:val="0"/>
          <w:i w:val="0"/>
          <w:sz w:val="22"/>
        </w:rPr>
        <w:t>Relative humidity from temperature and humidity ratio (inverse calculation):</w:t>
      </w:r>
    </w:p>
    <w:p>
      <w:pPr>
        <w:spacing w:before="60" w:after="60"/>
        <w:jc w:val="center"/>
      </w:pPr>
      <w:r>
        <w:rPr>
          <w:rFonts w:ascii="Cambria Math" w:hAnsi="Cambria Math"/>
          <w:sz w:val="22"/>
        </w:rPr>
        <w:t>RH = (ω × P_atm) / ((0.62198 + ω) × p_sat(T))</w:t>
      </w:r>
      <w:r>
        <w:rPr>
          <w:rFonts w:ascii="Times New Roman" w:hAnsi="Times New Roman"/>
          <w:sz w:val="20"/>
        </w:rPr>
        <w:t xml:space="preserve">    (3.12)</w:t>
      </w:r>
    </w:p>
    <w:p>
      <w:pPr>
        <w:pStyle w:val="Heading2"/>
      </w:pPr>
      <w:r>
        <w:rPr>
          <w:color w:val="000000"/>
        </w:rPr>
        <w:t>3.3.2 Solar Collector Model</w:t>
      </w:r>
    </w:p>
    <w:p>
      <w:pPr>
        <w:spacing w:after="120"/>
      </w:pPr>
      <w:r>
        <w:rPr>
          <w:rFonts w:ascii="Times New Roman" w:hAnsi="Times New Roman"/>
          <w:b w:val="0"/>
          <w:i w:val="0"/>
          <w:sz w:val="22"/>
        </w:rPr>
        <w:t>The flat-plate solar air collector is modeled using the Hottel–Whillier–Bliss equation (Duffie and Beckman, 2013). The useful heat gain is:</w:t>
      </w:r>
    </w:p>
    <w:p>
      <w:pPr>
        <w:spacing w:before="60" w:after="60"/>
        <w:jc w:val="center"/>
      </w:pPr>
      <w:r>
        <w:rPr>
          <w:rFonts w:ascii="Cambria Math" w:hAnsi="Cambria Math"/>
          <w:sz w:val="22"/>
        </w:rPr>
        <w:t>Q_u = A_c × F_R × [η_opt × G − U_L × (T_in − T_amb)]</w:t>
      </w:r>
      <w:r>
        <w:rPr>
          <w:rFonts w:ascii="Times New Roman" w:hAnsi="Times New Roman"/>
          <w:sz w:val="20"/>
        </w:rPr>
        <w:t xml:space="preserve">    (3.13)</w:t>
      </w:r>
    </w:p>
    <w:p>
      <w:pPr>
        <w:spacing w:after="120"/>
      </w:pPr>
      <w:r>
        <w:rPr>
          <w:rFonts w:ascii="Times New Roman" w:hAnsi="Times New Roman"/>
          <w:b w:val="0"/>
          <w:i w:val="0"/>
          <w:sz w:val="22"/>
        </w:rPr>
        <w:t>where the heat removal factor F_R is:</w:t>
      </w:r>
    </w:p>
    <w:p>
      <w:pPr>
        <w:spacing w:before="60" w:after="60"/>
        <w:jc w:val="center"/>
      </w:pPr>
      <w:r>
        <w:rPr>
          <w:rFonts w:ascii="Cambria Math" w:hAnsi="Cambria Math"/>
          <w:sz w:val="22"/>
        </w:rPr>
        <w:t>F_R = (ṁ_da × c_p) / (A_c × U_L) × [1 − exp(−F' × U_L × A_c / (ṁ_da × c_p))]</w:t>
      </w:r>
      <w:r>
        <w:rPr>
          <w:rFonts w:ascii="Times New Roman" w:hAnsi="Times New Roman"/>
          <w:sz w:val="20"/>
        </w:rPr>
        <w:t xml:space="preserve">    (3.14)</w:t>
      </w:r>
    </w:p>
    <w:p>
      <w:pPr>
        <w:spacing w:after="120"/>
      </w:pPr>
      <w:r>
        <w:rPr>
          <w:rFonts w:ascii="Times New Roman" w:hAnsi="Times New Roman"/>
          <w:b w:val="0"/>
          <w:i w:val="0"/>
          <w:sz w:val="22"/>
        </w:rPr>
        <w:t>The collector outlet temperature is:</w:t>
      </w:r>
    </w:p>
    <w:p>
      <w:pPr>
        <w:spacing w:before="60" w:after="60"/>
        <w:jc w:val="center"/>
      </w:pPr>
      <w:r>
        <w:rPr>
          <w:rFonts w:ascii="Cambria Math" w:hAnsi="Cambria Math"/>
          <w:sz w:val="22"/>
        </w:rPr>
        <w:t>T_out = T_in + Q_u / (ṁ_da × c_p)</w:t>
      </w:r>
      <w:r>
        <w:rPr>
          <w:rFonts w:ascii="Times New Roman" w:hAnsi="Times New Roman"/>
          <w:sz w:val="20"/>
        </w:rPr>
        <w:t xml:space="preserve">    (3.15)</w:t>
      </w:r>
    </w:p>
    <w:p>
      <w:pPr>
        <w:spacing w:after="80"/>
      </w:pPr>
      <w:r>
        <w:rPr>
          <w:rFonts w:ascii="Times New Roman" w:hAnsi="Times New Roman"/>
          <w:b/>
          <w:sz w:val="20"/>
        </w:rPr>
        <w:t>Table 3.3: Solar collector parameters</w:t>
      </w:r>
    </w:p>
    <w:tbl>
      <w:tblPr>
        <w:tblStyle w:val="LightShading-Accent1"/>
        <w:tblW w:type="auto" w:w="0"/>
        <w:jc w:val="center"/>
        <w:tblLook w:firstColumn="1" w:firstRow="1" w:lastColumn="0" w:lastRow="0" w:noHBand="0" w:noVBand="1" w:val="04A0"/>
      </w:tblPr>
      <w:tblGrid>
        <w:gridCol w:w="2275"/>
        <w:gridCol w:w="2275"/>
        <w:gridCol w:w="2275"/>
        <w:gridCol w:w="2275"/>
      </w:tblGrid>
      <w:tr>
        <w:tc>
          <w:tcPr>
            <w:tcW w:type="dxa" w:w="2275"/>
          </w:tcPr>
          <w:p>
            <w:pPr>
              <w:jc w:val="center"/>
            </w:pPr>
            <w:r>
              <w:rPr>
                <w:rFonts w:ascii="Times New Roman" w:hAnsi="Times New Roman"/>
                <w:b/>
                <w:sz w:val="18"/>
              </w:rPr>
              <w:t>Parameter</w:t>
            </w:r>
          </w:p>
        </w:tc>
        <w:tc>
          <w:tcPr>
            <w:tcW w:type="dxa" w:w="2275"/>
          </w:tcPr>
          <w:p>
            <w:pPr>
              <w:jc w:val="center"/>
            </w:pPr>
            <w:r>
              <w:rPr>
                <w:rFonts w:ascii="Times New Roman" w:hAnsi="Times New Roman"/>
                <w:b/>
                <w:sz w:val="18"/>
              </w:rPr>
              <w:t>Symbol</w:t>
            </w:r>
          </w:p>
        </w:tc>
        <w:tc>
          <w:tcPr>
            <w:tcW w:type="dxa" w:w="2275"/>
          </w:tcPr>
          <w:p>
            <w:pPr>
              <w:jc w:val="center"/>
            </w:pPr>
            <w:r>
              <w:rPr>
                <w:rFonts w:ascii="Times New Roman" w:hAnsi="Times New Roman"/>
                <w:b/>
                <w:sz w:val="18"/>
              </w:rPr>
              <w:t>Value</w:t>
            </w:r>
          </w:p>
        </w:tc>
        <w:tc>
          <w:tcPr>
            <w:tcW w:type="dxa" w:w="2275"/>
          </w:tcPr>
          <w:p>
            <w:pPr>
              <w:jc w:val="center"/>
            </w:pPr>
            <w:r>
              <w:rPr>
                <w:rFonts w:ascii="Times New Roman" w:hAnsi="Times New Roman"/>
                <w:b/>
                <w:sz w:val="18"/>
              </w:rPr>
              <w:t>Unit</w:t>
            </w:r>
          </w:p>
        </w:tc>
      </w:tr>
      <w:tr>
        <w:tc>
          <w:tcPr>
            <w:tcW w:type="dxa" w:w="2275"/>
          </w:tcPr>
          <w:p>
            <w:pPr>
              <w:jc w:val="center"/>
            </w:pPr>
            <w:r>
              <w:rPr>
                <w:rFonts w:ascii="Times New Roman" w:hAnsi="Times New Roman"/>
                <w:sz w:val="18"/>
              </w:rPr>
              <w:t>Optical efficiency</w:t>
            </w:r>
          </w:p>
        </w:tc>
        <w:tc>
          <w:tcPr>
            <w:tcW w:type="dxa" w:w="2275"/>
          </w:tcPr>
          <w:p>
            <w:pPr>
              <w:jc w:val="center"/>
            </w:pPr>
            <w:r>
              <w:rPr>
                <w:rFonts w:ascii="Times New Roman" w:hAnsi="Times New Roman"/>
                <w:sz w:val="18"/>
              </w:rPr>
              <w:t>η_opt</w:t>
            </w:r>
          </w:p>
        </w:tc>
        <w:tc>
          <w:tcPr>
            <w:tcW w:type="dxa" w:w="2275"/>
          </w:tcPr>
          <w:p>
            <w:pPr>
              <w:jc w:val="center"/>
            </w:pPr>
            <w:r>
              <w:rPr>
                <w:rFonts w:ascii="Times New Roman" w:hAnsi="Times New Roman"/>
                <w:sz w:val="18"/>
              </w:rPr>
              <w:t>0.75</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Overall loss coefficient</w:t>
            </w:r>
          </w:p>
        </w:tc>
        <w:tc>
          <w:tcPr>
            <w:tcW w:type="dxa" w:w="2275"/>
          </w:tcPr>
          <w:p>
            <w:pPr>
              <w:jc w:val="center"/>
            </w:pPr>
            <w:r>
              <w:rPr>
                <w:rFonts w:ascii="Times New Roman" w:hAnsi="Times New Roman"/>
                <w:sz w:val="18"/>
              </w:rPr>
              <w:t>U_L</w:t>
            </w:r>
          </w:p>
        </w:tc>
        <w:tc>
          <w:tcPr>
            <w:tcW w:type="dxa" w:w="2275"/>
          </w:tcPr>
          <w:p>
            <w:pPr>
              <w:jc w:val="center"/>
            </w:pPr>
            <w:r>
              <w:rPr>
                <w:rFonts w:ascii="Times New Roman" w:hAnsi="Times New Roman"/>
                <w:sz w:val="18"/>
              </w:rPr>
              <w:t>5.0</w:t>
            </w:r>
          </w:p>
        </w:tc>
        <w:tc>
          <w:tcPr>
            <w:tcW w:type="dxa" w:w="2275"/>
          </w:tcPr>
          <w:p>
            <w:pPr>
              <w:jc w:val="center"/>
            </w:pPr>
            <w:r>
              <w:rPr>
                <w:rFonts w:ascii="Times New Roman" w:hAnsi="Times New Roman"/>
                <w:sz w:val="18"/>
              </w:rPr>
              <w:t>W/(m²·K)</w:t>
            </w:r>
          </w:p>
        </w:tc>
      </w:tr>
      <w:tr>
        <w:tc>
          <w:tcPr>
            <w:tcW w:type="dxa" w:w="2275"/>
          </w:tcPr>
          <w:p>
            <w:pPr>
              <w:jc w:val="center"/>
            </w:pPr>
            <w:r>
              <w:rPr>
                <w:rFonts w:ascii="Times New Roman" w:hAnsi="Times New Roman"/>
                <w:sz w:val="18"/>
              </w:rPr>
              <w:t>Collector efficiency factor</w:t>
            </w:r>
          </w:p>
        </w:tc>
        <w:tc>
          <w:tcPr>
            <w:tcW w:type="dxa" w:w="2275"/>
          </w:tcPr>
          <w:p>
            <w:pPr>
              <w:jc w:val="center"/>
            </w:pPr>
            <w:r>
              <w:rPr>
                <w:rFonts w:ascii="Times New Roman" w:hAnsi="Times New Roman"/>
                <w:sz w:val="18"/>
              </w:rPr>
              <w:t>F'</w:t>
            </w:r>
          </w:p>
        </w:tc>
        <w:tc>
          <w:tcPr>
            <w:tcW w:type="dxa" w:w="2275"/>
          </w:tcPr>
          <w:p>
            <w:pPr>
              <w:jc w:val="center"/>
            </w:pPr>
            <w:r>
              <w:rPr>
                <w:rFonts w:ascii="Times New Roman" w:hAnsi="Times New Roman"/>
                <w:sz w:val="18"/>
              </w:rPr>
              <w:t>0.90</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Collector area</w:t>
            </w:r>
          </w:p>
        </w:tc>
        <w:tc>
          <w:tcPr>
            <w:tcW w:type="dxa" w:w="2275"/>
          </w:tcPr>
          <w:p>
            <w:pPr>
              <w:jc w:val="center"/>
            </w:pPr>
            <w:r>
              <w:rPr>
                <w:rFonts w:ascii="Times New Roman" w:hAnsi="Times New Roman"/>
                <w:sz w:val="18"/>
              </w:rPr>
              <w:t>A_c</w:t>
            </w:r>
          </w:p>
        </w:tc>
        <w:tc>
          <w:tcPr>
            <w:tcW w:type="dxa" w:w="2275"/>
          </w:tcPr>
          <w:p>
            <w:pPr>
              <w:jc w:val="center"/>
            </w:pPr>
            <w:r>
              <w:rPr>
                <w:rFonts w:ascii="Times New Roman" w:hAnsi="Times New Roman"/>
                <w:sz w:val="18"/>
              </w:rPr>
              <w:t>0–20</w:t>
            </w:r>
          </w:p>
        </w:tc>
        <w:tc>
          <w:tcPr>
            <w:tcW w:type="dxa" w:w="2275"/>
          </w:tcPr>
          <w:p>
            <w:pPr>
              <w:jc w:val="center"/>
            </w:pPr>
            <w:r>
              <w:rPr>
                <w:rFonts w:ascii="Times New Roman" w:hAnsi="Times New Roman"/>
                <w:sz w:val="18"/>
              </w:rPr>
              <w:t>m²</w:t>
            </w:r>
          </w:p>
        </w:tc>
      </w:tr>
      <w:tr>
        <w:tc>
          <w:tcPr>
            <w:tcW w:type="dxa" w:w="2275"/>
          </w:tcPr>
          <w:p>
            <w:pPr>
              <w:jc w:val="center"/>
            </w:pPr>
            <w:r>
              <w:rPr>
                <w:rFonts w:ascii="Times New Roman" w:hAnsi="Times New Roman"/>
                <w:sz w:val="18"/>
              </w:rPr>
              <w:t>Incidence angle modifier</w:t>
            </w:r>
          </w:p>
        </w:tc>
        <w:tc>
          <w:tcPr>
            <w:tcW w:type="dxa" w:w="2275"/>
          </w:tcPr>
          <w:p>
            <w:pPr>
              <w:jc w:val="center"/>
            </w:pPr>
            <w:r>
              <w:rPr>
                <w:rFonts w:ascii="Times New Roman" w:hAnsi="Times New Roman"/>
                <w:sz w:val="18"/>
              </w:rPr>
              <w:t>K_θ</w:t>
            </w:r>
          </w:p>
        </w:tc>
        <w:tc>
          <w:tcPr>
            <w:tcW w:type="dxa" w:w="2275"/>
          </w:tcPr>
          <w:p>
            <w:pPr>
              <w:jc w:val="center"/>
            </w:pPr>
            <w:r>
              <w:rPr>
                <w:rFonts w:ascii="Times New Roman" w:hAnsi="Times New Roman"/>
                <w:sz w:val="18"/>
              </w:rPr>
              <w:t>1.0</w:t>
            </w:r>
          </w:p>
        </w:tc>
        <w:tc>
          <w:tcPr>
            <w:tcW w:type="dxa" w:w="2275"/>
          </w:tcPr>
          <w:p>
            <w:pPr>
              <w:jc w:val="center"/>
            </w:pPr>
            <w:r>
              <w:rPr>
                <w:rFonts w:ascii="Times New Roman" w:hAnsi="Times New Roman"/>
                <w:sz w:val="18"/>
              </w:rPr>
              <w:t>-</w:t>
            </w:r>
          </w:p>
        </w:tc>
      </w:tr>
    </w:tbl>
    <w:p/>
    <w:p>
      <w:pPr>
        <w:pStyle w:val="Heading2"/>
      </w:pPr>
      <w:r>
        <w:rPr>
          <w:color w:val="000000"/>
        </w:rPr>
        <w:t>3.3.3 Heat Pump Thermodynamic Cycle</w:t>
      </w:r>
    </w:p>
    <w:p>
      <w:pPr>
        <w:spacing w:after="120"/>
      </w:pPr>
      <w:r>
        <w:rPr>
          <w:rFonts w:ascii="Times New Roman" w:hAnsi="Times New Roman"/>
          <w:b w:val="0"/>
          <w:i w:val="0"/>
          <w:sz w:val="22"/>
        </w:rPr>
        <w:t>The heat pump operates on a standard vapor compression cycle with R134a refrigerant. Thermodynamic properties at each state point are computed using the CoolProp library (Bell et al., 2014), which provides NIST-quality equations of state. The cycle consists of four processes:</w:t>
      </w:r>
    </w:p>
    <w:p>
      <w:pPr>
        <w:spacing w:after="120"/>
      </w:pPr>
      <w:r>
        <w:rPr>
          <w:rFonts w:ascii="Times New Roman" w:hAnsi="Times New Roman"/>
          <w:b w:val="0"/>
          <w:i w:val="0"/>
          <w:sz w:val="22"/>
        </w:rPr>
        <w:t>(1) Evaporation with superheat: the refrigerant absorbs heat from the air stream (or ambient environment) at low pressure, exiting as superheated vapor at T_1 = T_evap + ΔT_sh.</w:t>
      </w:r>
    </w:p>
    <w:p>
      <w:pPr>
        <w:spacing w:after="120"/>
      </w:pPr>
      <w:r>
        <w:rPr>
          <w:rFonts w:ascii="Times New Roman" w:hAnsi="Times New Roman"/>
          <w:b w:val="0"/>
          <w:i w:val="0"/>
          <w:sz w:val="22"/>
        </w:rPr>
        <w:t>(2) Compression: the superheated vapor is compressed to condenser pressure. The actual enthalpy rise is related to the isentropic enthalpy rise by the compressor isentropic efficiency:</w:t>
      </w:r>
    </w:p>
    <w:p>
      <w:pPr>
        <w:spacing w:before="60" w:after="60"/>
        <w:jc w:val="center"/>
      </w:pPr>
      <w:r>
        <w:rPr>
          <w:rFonts w:ascii="Cambria Math" w:hAnsi="Cambria Math"/>
          <w:sz w:val="22"/>
        </w:rPr>
        <w:t>h_2 = h_1 + (h_2s − h_1) / η_is</w:t>
      </w:r>
      <w:r>
        <w:rPr>
          <w:rFonts w:ascii="Times New Roman" w:hAnsi="Times New Roman"/>
          <w:sz w:val="20"/>
        </w:rPr>
        <w:t xml:space="preserve">    (3.16)</w:t>
      </w:r>
    </w:p>
    <w:p>
      <w:pPr>
        <w:spacing w:after="120"/>
      </w:pPr>
      <w:r>
        <w:rPr>
          <w:rFonts w:ascii="Times New Roman" w:hAnsi="Times New Roman"/>
          <w:b w:val="0"/>
          <w:i w:val="0"/>
          <w:sz w:val="22"/>
        </w:rPr>
        <w:t>(3) Condensation with subcooling: the high-pressure refrigerant rejects heat to the drying air, exiting as subcooled liquid at T_3 = T_cond − ΔT_sc.</w:t>
      </w:r>
    </w:p>
    <w:p>
      <w:pPr>
        <w:spacing w:after="120"/>
      </w:pPr>
      <w:r>
        <w:rPr>
          <w:rFonts w:ascii="Times New Roman" w:hAnsi="Times New Roman"/>
          <w:b w:val="0"/>
          <w:i w:val="0"/>
          <w:sz w:val="22"/>
        </w:rPr>
        <w:t>(4) Expansion: isenthalpic throttling through the expansion valve (h_4 = h_3).</w:t>
      </w:r>
    </w:p>
    <w:p>
      <w:pPr>
        <w:spacing w:after="120"/>
      </w:pPr>
      <w:r>
        <w:rPr>
          <w:rFonts w:ascii="Times New Roman" w:hAnsi="Times New Roman"/>
          <w:b w:val="0"/>
          <w:i w:val="0"/>
          <w:sz w:val="22"/>
        </w:rPr>
        <w:t>The refrigerant mass flow rate is determined from the condenser heat duty:</w:t>
      </w:r>
    </w:p>
    <w:p>
      <w:pPr>
        <w:spacing w:before="60" w:after="60"/>
        <w:jc w:val="center"/>
      </w:pPr>
      <w:r>
        <w:rPr>
          <w:rFonts w:ascii="Cambria Math" w:hAnsi="Cambria Math"/>
          <w:sz w:val="22"/>
        </w:rPr>
        <w:t>ṁ_ref = Q_cond / (h_2 − h_3)</w:t>
      </w:r>
      <w:r>
        <w:rPr>
          <w:rFonts w:ascii="Times New Roman" w:hAnsi="Times New Roman"/>
          <w:sz w:val="20"/>
        </w:rPr>
        <w:t xml:space="preserve">    (3.17)</w:t>
      </w:r>
    </w:p>
    <w:p>
      <w:pPr>
        <w:spacing w:after="120"/>
      </w:pPr>
      <w:r>
        <w:rPr>
          <w:rFonts w:ascii="Times New Roman" w:hAnsi="Times New Roman"/>
          <w:b w:val="0"/>
          <w:i w:val="0"/>
          <w:sz w:val="22"/>
        </w:rPr>
        <w:t>Energy flows and performance:</w:t>
      </w:r>
    </w:p>
    <w:p>
      <w:pPr>
        <w:spacing w:before="60" w:after="60"/>
        <w:jc w:val="center"/>
      </w:pPr>
      <w:r>
        <w:rPr>
          <w:rFonts w:ascii="Cambria Math" w:hAnsi="Cambria Math"/>
          <w:sz w:val="22"/>
        </w:rPr>
        <w:t>Q_evap = ṁ_ref × (h_1 − h_4)</w:t>
      </w:r>
      <w:r>
        <w:rPr>
          <w:rFonts w:ascii="Times New Roman" w:hAnsi="Times New Roman"/>
          <w:sz w:val="20"/>
        </w:rPr>
        <w:t xml:space="preserve">    (3.18)</w:t>
      </w:r>
    </w:p>
    <w:p>
      <w:pPr>
        <w:spacing w:before="60" w:after="60"/>
        <w:jc w:val="center"/>
      </w:pPr>
      <w:r>
        <w:rPr>
          <w:rFonts w:ascii="Cambria Math" w:hAnsi="Cambria Math"/>
          <w:sz w:val="22"/>
        </w:rPr>
        <w:t>W_comp = ṁ_ref × (h_2 − h_1) / η_mech</w:t>
      </w:r>
      <w:r>
        <w:rPr>
          <w:rFonts w:ascii="Times New Roman" w:hAnsi="Times New Roman"/>
          <w:sz w:val="20"/>
        </w:rPr>
        <w:t xml:space="preserve">    (3.19)</w:t>
      </w:r>
    </w:p>
    <w:p>
      <w:pPr>
        <w:spacing w:before="60" w:after="60"/>
        <w:jc w:val="center"/>
      </w:pPr>
      <w:r>
        <w:rPr>
          <w:rFonts w:ascii="Cambria Math" w:hAnsi="Cambria Math"/>
          <w:sz w:val="22"/>
        </w:rPr>
        <w:t>COP = Q_cond / W_comp</w:t>
      </w:r>
      <w:r>
        <w:rPr>
          <w:rFonts w:ascii="Times New Roman" w:hAnsi="Times New Roman"/>
          <w:sz w:val="20"/>
        </w:rPr>
        <w:t xml:space="preserve">    (3.20)</w:t>
      </w:r>
    </w:p>
    <w:p>
      <w:pPr>
        <w:spacing w:after="120"/>
      </w:pPr>
      <w:r>
        <w:rPr>
          <w:rFonts w:ascii="Times New Roman" w:hAnsi="Times New Roman"/>
          <w:b w:val="0"/>
          <w:i w:val="0"/>
          <w:sz w:val="22"/>
        </w:rPr>
        <w:t>First law of thermodynamics (energy conservation):</w:t>
      </w:r>
    </w:p>
    <w:p>
      <w:pPr>
        <w:spacing w:before="60" w:after="60"/>
        <w:jc w:val="center"/>
      </w:pPr>
      <w:r>
        <w:rPr>
          <w:rFonts w:ascii="Cambria Math" w:hAnsi="Cambria Math"/>
          <w:sz w:val="22"/>
        </w:rPr>
        <w:t>Q_cond = Q_evap + W_comp × η_mech</w:t>
      </w:r>
      <w:r>
        <w:rPr>
          <w:rFonts w:ascii="Times New Roman" w:hAnsi="Times New Roman"/>
          <w:sz w:val="20"/>
        </w:rPr>
        <w:t xml:space="preserve">    (3.21)</w:t>
      </w:r>
    </w:p>
    <w:p>
      <w:pPr>
        <w:spacing w:after="80"/>
      </w:pPr>
      <w:r>
        <w:rPr>
          <w:rFonts w:ascii="Times New Roman" w:hAnsi="Times New Roman"/>
          <w:b/>
          <w:sz w:val="20"/>
        </w:rPr>
        <w:t>Table 3.4: Heat pump parameters</w:t>
      </w:r>
    </w:p>
    <w:tbl>
      <w:tblPr>
        <w:tblStyle w:val="LightShading-Accent1"/>
        <w:tblW w:type="auto" w:w="0"/>
        <w:jc w:val="center"/>
        <w:tblLook w:firstColumn="1" w:firstRow="1" w:lastColumn="0" w:lastRow="0" w:noHBand="0" w:noVBand="1" w:val="04A0"/>
      </w:tblPr>
      <w:tblGrid>
        <w:gridCol w:w="2275"/>
        <w:gridCol w:w="2275"/>
        <w:gridCol w:w="2275"/>
        <w:gridCol w:w="2275"/>
      </w:tblGrid>
      <w:tr>
        <w:tc>
          <w:tcPr>
            <w:tcW w:type="dxa" w:w="2275"/>
          </w:tcPr>
          <w:p>
            <w:pPr>
              <w:jc w:val="center"/>
            </w:pPr>
            <w:r>
              <w:rPr>
                <w:rFonts w:ascii="Times New Roman" w:hAnsi="Times New Roman"/>
                <w:b/>
                <w:sz w:val="18"/>
              </w:rPr>
              <w:t>Parameter</w:t>
            </w:r>
          </w:p>
        </w:tc>
        <w:tc>
          <w:tcPr>
            <w:tcW w:type="dxa" w:w="2275"/>
          </w:tcPr>
          <w:p>
            <w:pPr>
              <w:jc w:val="center"/>
            </w:pPr>
            <w:r>
              <w:rPr>
                <w:rFonts w:ascii="Times New Roman" w:hAnsi="Times New Roman"/>
                <w:b/>
                <w:sz w:val="18"/>
              </w:rPr>
              <w:t>Symbol</w:t>
            </w:r>
          </w:p>
        </w:tc>
        <w:tc>
          <w:tcPr>
            <w:tcW w:type="dxa" w:w="2275"/>
          </w:tcPr>
          <w:p>
            <w:pPr>
              <w:jc w:val="center"/>
            </w:pPr>
            <w:r>
              <w:rPr>
                <w:rFonts w:ascii="Times New Roman" w:hAnsi="Times New Roman"/>
                <w:b/>
                <w:sz w:val="18"/>
              </w:rPr>
              <w:t>Value</w:t>
            </w:r>
          </w:p>
        </w:tc>
        <w:tc>
          <w:tcPr>
            <w:tcW w:type="dxa" w:w="2275"/>
          </w:tcPr>
          <w:p>
            <w:pPr>
              <w:jc w:val="center"/>
            </w:pPr>
            <w:r>
              <w:rPr>
                <w:rFonts w:ascii="Times New Roman" w:hAnsi="Times New Roman"/>
                <w:b/>
                <w:sz w:val="18"/>
              </w:rPr>
              <w:t>Unit</w:t>
            </w:r>
          </w:p>
        </w:tc>
      </w:tr>
      <w:tr>
        <w:tc>
          <w:tcPr>
            <w:tcW w:type="dxa" w:w="2275"/>
          </w:tcPr>
          <w:p>
            <w:pPr>
              <w:jc w:val="center"/>
            </w:pPr>
            <w:r>
              <w:rPr>
                <w:rFonts w:ascii="Times New Roman" w:hAnsi="Times New Roman"/>
                <w:sz w:val="18"/>
              </w:rPr>
              <w:t>Refrigerant</w:t>
            </w:r>
          </w:p>
        </w:tc>
        <w:tc>
          <w:tcPr>
            <w:tcW w:type="dxa" w:w="2275"/>
          </w:tcPr>
          <w:p>
            <w:pPr>
              <w:jc w:val="center"/>
            </w:pPr>
            <w:r>
              <w:rPr>
                <w:rFonts w:ascii="Times New Roman" w:hAnsi="Times New Roman"/>
                <w:sz w:val="18"/>
              </w:rPr>
              <w:t>-</w:t>
            </w:r>
          </w:p>
        </w:tc>
        <w:tc>
          <w:tcPr>
            <w:tcW w:type="dxa" w:w="2275"/>
          </w:tcPr>
          <w:p>
            <w:pPr>
              <w:jc w:val="center"/>
            </w:pPr>
            <w:r>
              <w:rPr>
                <w:rFonts w:ascii="Times New Roman" w:hAnsi="Times New Roman"/>
                <w:sz w:val="18"/>
              </w:rPr>
              <w:t>R134a</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Compressor isentropic efficiency</w:t>
            </w:r>
          </w:p>
        </w:tc>
        <w:tc>
          <w:tcPr>
            <w:tcW w:type="dxa" w:w="2275"/>
          </w:tcPr>
          <w:p>
            <w:pPr>
              <w:jc w:val="center"/>
            </w:pPr>
            <w:r>
              <w:rPr>
                <w:rFonts w:ascii="Times New Roman" w:hAnsi="Times New Roman"/>
                <w:sz w:val="18"/>
              </w:rPr>
              <w:t>η_is</w:t>
            </w:r>
          </w:p>
        </w:tc>
        <w:tc>
          <w:tcPr>
            <w:tcW w:type="dxa" w:w="2275"/>
          </w:tcPr>
          <w:p>
            <w:pPr>
              <w:jc w:val="center"/>
            </w:pPr>
            <w:r>
              <w:rPr>
                <w:rFonts w:ascii="Times New Roman" w:hAnsi="Times New Roman"/>
                <w:sz w:val="18"/>
              </w:rPr>
              <w:t>0.75</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Mechanical efficiency</w:t>
            </w:r>
          </w:p>
        </w:tc>
        <w:tc>
          <w:tcPr>
            <w:tcW w:type="dxa" w:w="2275"/>
          </w:tcPr>
          <w:p>
            <w:pPr>
              <w:jc w:val="center"/>
            </w:pPr>
            <w:r>
              <w:rPr>
                <w:rFonts w:ascii="Times New Roman" w:hAnsi="Times New Roman"/>
                <w:sz w:val="18"/>
              </w:rPr>
              <w:t>η_mech</w:t>
            </w:r>
          </w:p>
        </w:tc>
        <w:tc>
          <w:tcPr>
            <w:tcW w:type="dxa" w:w="2275"/>
          </w:tcPr>
          <w:p>
            <w:pPr>
              <w:jc w:val="center"/>
            </w:pPr>
            <w:r>
              <w:rPr>
                <w:rFonts w:ascii="Times New Roman" w:hAnsi="Times New Roman"/>
                <w:sz w:val="18"/>
              </w:rPr>
              <w:t>0.95</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Superheat</w:t>
            </w:r>
          </w:p>
        </w:tc>
        <w:tc>
          <w:tcPr>
            <w:tcW w:type="dxa" w:w="2275"/>
          </w:tcPr>
          <w:p>
            <w:pPr>
              <w:jc w:val="center"/>
            </w:pPr>
            <w:r>
              <w:rPr>
                <w:rFonts w:ascii="Times New Roman" w:hAnsi="Times New Roman"/>
                <w:sz w:val="18"/>
              </w:rPr>
              <w:t>ΔT_sh</w:t>
            </w:r>
          </w:p>
        </w:tc>
        <w:tc>
          <w:tcPr>
            <w:tcW w:type="dxa" w:w="2275"/>
          </w:tcPr>
          <w:p>
            <w:pPr>
              <w:jc w:val="center"/>
            </w:pPr>
            <w:r>
              <w:rPr>
                <w:rFonts w:ascii="Times New Roman" w:hAnsi="Times New Roman"/>
                <w:sz w:val="18"/>
              </w:rPr>
              <w:t>5</w:t>
            </w:r>
          </w:p>
        </w:tc>
        <w:tc>
          <w:tcPr>
            <w:tcW w:type="dxa" w:w="2275"/>
          </w:tcPr>
          <w:p>
            <w:pPr>
              <w:jc w:val="center"/>
            </w:pPr>
            <w:r>
              <w:rPr>
                <w:rFonts w:ascii="Times New Roman" w:hAnsi="Times New Roman"/>
                <w:sz w:val="18"/>
              </w:rPr>
              <w:t>K</w:t>
            </w:r>
          </w:p>
        </w:tc>
      </w:tr>
      <w:tr>
        <w:tc>
          <w:tcPr>
            <w:tcW w:type="dxa" w:w="2275"/>
          </w:tcPr>
          <w:p>
            <w:pPr>
              <w:jc w:val="center"/>
            </w:pPr>
            <w:r>
              <w:rPr>
                <w:rFonts w:ascii="Times New Roman" w:hAnsi="Times New Roman"/>
                <w:sz w:val="18"/>
              </w:rPr>
              <w:t>Subcooling</w:t>
            </w:r>
          </w:p>
        </w:tc>
        <w:tc>
          <w:tcPr>
            <w:tcW w:type="dxa" w:w="2275"/>
          </w:tcPr>
          <w:p>
            <w:pPr>
              <w:jc w:val="center"/>
            </w:pPr>
            <w:r>
              <w:rPr>
                <w:rFonts w:ascii="Times New Roman" w:hAnsi="Times New Roman"/>
                <w:sz w:val="18"/>
              </w:rPr>
              <w:t>ΔT_sc</w:t>
            </w:r>
          </w:p>
        </w:tc>
        <w:tc>
          <w:tcPr>
            <w:tcW w:type="dxa" w:w="2275"/>
          </w:tcPr>
          <w:p>
            <w:pPr>
              <w:jc w:val="center"/>
            </w:pPr>
            <w:r>
              <w:rPr>
                <w:rFonts w:ascii="Times New Roman" w:hAnsi="Times New Roman"/>
                <w:sz w:val="18"/>
              </w:rPr>
              <w:t>5</w:t>
            </w:r>
          </w:p>
        </w:tc>
        <w:tc>
          <w:tcPr>
            <w:tcW w:type="dxa" w:w="2275"/>
          </w:tcPr>
          <w:p>
            <w:pPr>
              <w:jc w:val="center"/>
            </w:pPr>
            <w:r>
              <w:rPr>
                <w:rFonts w:ascii="Times New Roman" w:hAnsi="Times New Roman"/>
                <w:sz w:val="18"/>
              </w:rPr>
              <w:t>K</w:t>
            </w:r>
          </w:p>
        </w:tc>
      </w:tr>
      <w:tr>
        <w:tc>
          <w:tcPr>
            <w:tcW w:type="dxa" w:w="2275"/>
          </w:tcPr>
          <w:p>
            <w:pPr>
              <w:jc w:val="center"/>
            </w:pPr>
            <w:r>
              <w:rPr>
                <w:rFonts w:ascii="Times New Roman" w:hAnsi="Times New Roman"/>
                <w:sz w:val="18"/>
              </w:rPr>
              <w:t>Evaporator effectiveness</w:t>
            </w:r>
          </w:p>
        </w:tc>
        <w:tc>
          <w:tcPr>
            <w:tcW w:type="dxa" w:w="2275"/>
          </w:tcPr>
          <w:p>
            <w:pPr>
              <w:jc w:val="center"/>
            </w:pPr>
            <w:r>
              <w:rPr>
                <w:rFonts w:ascii="Times New Roman" w:hAnsi="Times New Roman"/>
                <w:sz w:val="18"/>
              </w:rPr>
              <w:t>ε_evap</w:t>
            </w:r>
          </w:p>
        </w:tc>
        <w:tc>
          <w:tcPr>
            <w:tcW w:type="dxa" w:w="2275"/>
          </w:tcPr>
          <w:p>
            <w:pPr>
              <w:jc w:val="center"/>
            </w:pPr>
            <w:r>
              <w:rPr>
                <w:rFonts w:ascii="Times New Roman" w:hAnsi="Times New Roman"/>
                <w:sz w:val="18"/>
              </w:rPr>
              <w:t>0.85</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Condenser effectiveness</w:t>
            </w:r>
          </w:p>
        </w:tc>
        <w:tc>
          <w:tcPr>
            <w:tcW w:type="dxa" w:w="2275"/>
          </w:tcPr>
          <w:p>
            <w:pPr>
              <w:jc w:val="center"/>
            </w:pPr>
            <w:r>
              <w:rPr>
                <w:rFonts w:ascii="Times New Roman" w:hAnsi="Times New Roman"/>
                <w:sz w:val="18"/>
              </w:rPr>
              <w:t>ε_cond</w:t>
            </w:r>
          </w:p>
        </w:tc>
        <w:tc>
          <w:tcPr>
            <w:tcW w:type="dxa" w:w="2275"/>
          </w:tcPr>
          <w:p>
            <w:pPr>
              <w:jc w:val="center"/>
            </w:pPr>
            <w:r>
              <w:rPr>
                <w:rFonts w:ascii="Times New Roman" w:hAnsi="Times New Roman"/>
                <w:sz w:val="18"/>
              </w:rPr>
              <w:t>0.85</w:t>
            </w:r>
          </w:p>
        </w:tc>
        <w:tc>
          <w:tcPr>
            <w:tcW w:type="dxa" w:w="2275"/>
          </w:tcPr>
          <w:p>
            <w:pPr>
              <w:jc w:val="center"/>
            </w:pPr>
            <w:r>
              <w:rPr>
                <w:rFonts w:ascii="Times New Roman" w:hAnsi="Times New Roman"/>
                <w:sz w:val="18"/>
              </w:rPr>
              <w:t>-</w:t>
            </w:r>
          </w:p>
        </w:tc>
      </w:tr>
      <w:tr>
        <w:tc>
          <w:tcPr>
            <w:tcW w:type="dxa" w:w="2275"/>
          </w:tcPr>
          <w:p>
            <w:pPr>
              <w:jc w:val="center"/>
            </w:pPr>
            <w:r>
              <w:rPr>
                <w:rFonts w:ascii="Times New Roman" w:hAnsi="Times New Roman"/>
                <w:sz w:val="18"/>
              </w:rPr>
              <w:t>Evaporator coil approach</w:t>
            </w:r>
          </w:p>
        </w:tc>
        <w:tc>
          <w:tcPr>
            <w:tcW w:type="dxa" w:w="2275"/>
          </w:tcPr>
          <w:p>
            <w:pPr>
              <w:jc w:val="center"/>
            </w:pPr>
            <w:r>
              <w:rPr>
                <w:rFonts w:ascii="Times New Roman" w:hAnsi="Times New Roman"/>
                <w:sz w:val="18"/>
              </w:rPr>
              <w:t>ΔT_approach</w:t>
            </w:r>
          </w:p>
        </w:tc>
        <w:tc>
          <w:tcPr>
            <w:tcW w:type="dxa" w:w="2275"/>
          </w:tcPr>
          <w:p>
            <w:pPr>
              <w:jc w:val="center"/>
            </w:pPr>
            <w:r>
              <w:rPr>
                <w:rFonts w:ascii="Times New Roman" w:hAnsi="Times New Roman"/>
                <w:sz w:val="18"/>
              </w:rPr>
              <w:t>3</w:t>
            </w:r>
          </w:p>
        </w:tc>
        <w:tc>
          <w:tcPr>
            <w:tcW w:type="dxa" w:w="2275"/>
          </w:tcPr>
          <w:p>
            <w:pPr>
              <w:jc w:val="center"/>
            </w:pPr>
            <w:r>
              <w:rPr>
                <w:rFonts w:ascii="Times New Roman" w:hAnsi="Times New Roman"/>
                <w:sz w:val="18"/>
              </w:rPr>
              <w:t>K</w:t>
            </w:r>
          </w:p>
        </w:tc>
      </w:tr>
      <w:tr>
        <w:tc>
          <w:tcPr>
            <w:tcW w:type="dxa" w:w="2275"/>
          </w:tcPr>
          <w:p>
            <w:pPr>
              <w:jc w:val="center"/>
            </w:pPr>
            <w:r>
              <w:rPr>
                <w:rFonts w:ascii="Times New Roman" w:hAnsi="Times New Roman"/>
                <w:sz w:val="18"/>
              </w:rPr>
              <w:t>Min. evaporator temperature</w:t>
            </w:r>
          </w:p>
        </w:tc>
        <w:tc>
          <w:tcPr>
            <w:tcW w:type="dxa" w:w="2275"/>
          </w:tcPr>
          <w:p>
            <w:pPr>
              <w:jc w:val="center"/>
            </w:pPr>
            <w:r>
              <w:rPr>
                <w:rFonts w:ascii="Times New Roman" w:hAnsi="Times New Roman"/>
                <w:sz w:val="18"/>
              </w:rPr>
              <w:t>T_evap,min</w:t>
            </w:r>
          </w:p>
        </w:tc>
        <w:tc>
          <w:tcPr>
            <w:tcW w:type="dxa" w:w="2275"/>
          </w:tcPr>
          <w:p>
            <w:pPr>
              <w:jc w:val="center"/>
            </w:pPr>
            <w:r>
              <w:rPr>
                <w:rFonts w:ascii="Times New Roman" w:hAnsi="Times New Roman"/>
                <w:sz w:val="18"/>
              </w:rPr>
              <w:t>−5</w:t>
            </w:r>
          </w:p>
        </w:tc>
        <w:tc>
          <w:tcPr>
            <w:tcW w:type="dxa" w:w="2275"/>
          </w:tcPr>
          <w:p>
            <w:pPr>
              <w:jc w:val="center"/>
            </w:pPr>
            <w:r>
              <w:rPr>
                <w:rFonts w:ascii="Times New Roman" w:hAnsi="Times New Roman"/>
                <w:sz w:val="18"/>
              </w:rPr>
              <w:t>°C</w:t>
            </w:r>
          </w:p>
        </w:tc>
      </w:tr>
      <w:tr>
        <w:tc>
          <w:tcPr>
            <w:tcW w:type="dxa" w:w="2275"/>
          </w:tcPr>
          <w:p>
            <w:pPr>
              <w:jc w:val="center"/>
            </w:pPr>
            <w:r>
              <w:rPr>
                <w:rFonts w:ascii="Times New Roman" w:hAnsi="Times New Roman"/>
                <w:sz w:val="18"/>
              </w:rPr>
              <w:t>Max. condenser temperature</w:t>
            </w:r>
          </w:p>
        </w:tc>
        <w:tc>
          <w:tcPr>
            <w:tcW w:type="dxa" w:w="2275"/>
          </w:tcPr>
          <w:p>
            <w:pPr>
              <w:jc w:val="center"/>
            </w:pPr>
            <w:r>
              <w:rPr>
                <w:rFonts w:ascii="Times New Roman" w:hAnsi="Times New Roman"/>
                <w:sz w:val="18"/>
              </w:rPr>
              <w:t>T_cond,max</w:t>
            </w:r>
          </w:p>
        </w:tc>
        <w:tc>
          <w:tcPr>
            <w:tcW w:type="dxa" w:w="2275"/>
          </w:tcPr>
          <w:p>
            <w:pPr>
              <w:jc w:val="center"/>
            </w:pPr>
            <w:r>
              <w:rPr>
                <w:rFonts w:ascii="Times New Roman" w:hAnsi="Times New Roman"/>
                <w:sz w:val="18"/>
              </w:rPr>
              <w:t>70</w:t>
            </w:r>
          </w:p>
        </w:tc>
        <w:tc>
          <w:tcPr>
            <w:tcW w:type="dxa" w:w="2275"/>
          </w:tcPr>
          <w:p>
            <w:pPr>
              <w:jc w:val="center"/>
            </w:pPr>
            <w:r>
              <w:rPr>
                <w:rFonts w:ascii="Times New Roman" w:hAnsi="Times New Roman"/>
                <w:sz w:val="18"/>
              </w:rPr>
              <w:t>°C</w:t>
            </w:r>
          </w:p>
        </w:tc>
      </w:tr>
      <w:tr>
        <w:tc>
          <w:tcPr>
            <w:tcW w:type="dxa" w:w="2275"/>
          </w:tcPr>
          <w:p>
            <w:pPr>
              <w:jc w:val="center"/>
            </w:pPr>
            <w:r>
              <w:rPr>
                <w:rFonts w:ascii="Times New Roman" w:hAnsi="Times New Roman"/>
                <w:sz w:val="18"/>
              </w:rPr>
              <w:t>Max. pressure ratio</w:t>
            </w:r>
          </w:p>
        </w:tc>
        <w:tc>
          <w:tcPr>
            <w:tcW w:type="dxa" w:w="2275"/>
          </w:tcPr>
          <w:p>
            <w:pPr>
              <w:jc w:val="center"/>
            </w:pPr>
            <w:r>
              <w:rPr>
                <w:rFonts w:ascii="Times New Roman" w:hAnsi="Times New Roman"/>
                <w:sz w:val="18"/>
              </w:rPr>
              <w:t>PR_max</w:t>
            </w:r>
          </w:p>
        </w:tc>
        <w:tc>
          <w:tcPr>
            <w:tcW w:type="dxa" w:w="2275"/>
          </w:tcPr>
          <w:p>
            <w:pPr>
              <w:jc w:val="center"/>
            </w:pPr>
            <w:r>
              <w:rPr>
                <w:rFonts w:ascii="Times New Roman" w:hAnsi="Times New Roman"/>
                <w:sz w:val="18"/>
              </w:rPr>
              <w:t>10</w:t>
            </w:r>
          </w:p>
        </w:tc>
        <w:tc>
          <w:tcPr>
            <w:tcW w:type="dxa" w:w="2275"/>
          </w:tcPr>
          <w:p>
            <w:pPr>
              <w:jc w:val="center"/>
            </w:pPr>
            <w:r>
              <w:rPr>
                <w:rFonts w:ascii="Times New Roman" w:hAnsi="Times New Roman"/>
                <w:sz w:val="18"/>
              </w:rPr>
              <w:t>-</w:t>
            </w:r>
          </w:p>
        </w:tc>
      </w:tr>
    </w:tbl>
    <w:p/>
    <w:p>
      <w:pPr>
        <w:pStyle w:val="Heading3"/>
      </w:pPr>
      <w:r>
        <w:rPr>
          <w:color w:val="000000"/>
        </w:rPr>
        <w:t>3.3.3.1 Heat Pump Sizing: Open-Loop vs. Closed-Loop</w:t>
      </w:r>
    </w:p>
    <w:p>
      <w:pPr>
        <w:spacing w:after="120"/>
      </w:pPr>
      <w:r>
        <w:rPr>
          <w:rFonts w:ascii="Times New Roman" w:hAnsi="Times New Roman"/>
          <w:b w:val="0"/>
          <w:i w:val="0"/>
          <w:sz w:val="22"/>
        </w:rPr>
        <w:t>Two distinct heat pump sizing approaches are used depending on whether the evaporator and condenser process the same or different air streams.</w:t>
      </w:r>
    </w:p>
    <w:p>
      <w:pPr>
        <w:spacing w:after="120"/>
      </w:pPr>
      <w:r>
        <w:rPr>
          <w:rFonts w:ascii="Times New Roman" w:hAnsi="Times New Roman"/>
          <w:b/>
          <w:i w:val="0"/>
          <w:sz w:val="22"/>
        </w:rPr>
        <w:t>Open-loop sizing (Configs A(r=0), B, C1, C2, D, E):</w:t>
      </w:r>
    </w:p>
    <w:p>
      <w:pPr>
        <w:spacing w:after="120"/>
      </w:pPr>
      <w:r>
        <w:rPr>
          <w:rFonts w:ascii="Times New Roman" w:hAnsi="Times New Roman"/>
          <w:b w:val="0"/>
          <w:i w:val="0"/>
          <w:sz w:val="22"/>
        </w:rPr>
        <w:t>In open-loop configurations, the condenser and evaporator air streams are independent. The heat pump is sized to deliver the required air heating duty:</w:t>
      </w:r>
    </w:p>
    <w:p>
      <w:pPr>
        <w:spacing w:before="60" w:after="60"/>
        <w:jc w:val="center"/>
      </w:pPr>
      <w:r>
        <w:rPr>
          <w:rFonts w:ascii="Cambria Math" w:hAnsi="Cambria Math"/>
          <w:sz w:val="22"/>
        </w:rPr>
        <w:t>Q_cond = ṁ_da × (h(T_set, ω_in) − h(T_in, ω_in))</w:t>
      </w:r>
      <w:r>
        <w:rPr>
          <w:rFonts w:ascii="Times New Roman" w:hAnsi="Times New Roman"/>
          <w:sz w:val="20"/>
        </w:rPr>
        <w:t xml:space="preserve">    (3.22)</w:t>
      </w:r>
    </w:p>
    <w:p>
      <w:pPr>
        <w:spacing w:after="120"/>
      </w:pPr>
      <w:r>
        <w:rPr>
          <w:rFonts w:ascii="Times New Roman" w:hAnsi="Times New Roman"/>
          <w:b w:val="0"/>
          <w:i w:val="0"/>
          <w:sz w:val="22"/>
        </w:rPr>
        <w:t>The evaporator temperature is set based on the ambient (or source) air temperature with a fixed approach:</w:t>
      </w:r>
    </w:p>
    <w:p>
      <w:pPr>
        <w:spacing w:before="60" w:after="60"/>
        <w:jc w:val="center"/>
      </w:pPr>
      <w:r>
        <w:rPr>
          <w:rFonts w:ascii="Cambria Math" w:hAnsi="Cambria Math"/>
          <w:sz w:val="22"/>
        </w:rPr>
        <w:t>T_evap = T_source − ΔT_approach,evap</w:t>
      </w:r>
      <w:r>
        <w:rPr>
          <w:rFonts w:ascii="Times New Roman" w:hAnsi="Times New Roman"/>
          <w:sz w:val="20"/>
        </w:rPr>
        <w:t xml:space="preserve">    (3.23)</w:t>
      </w:r>
    </w:p>
    <w:p>
      <w:pPr>
        <w:spacing w:after="120"/>
      </w:pPr>
      <w:r>
        <w:rPr>
          <w:rFonts w:ascii="Times New Roman" w:hAnsi="Times New Roman"/>
          <w:b/>
          <w:i w:val="0"/>
          <w:sz w:val="22"/>
        </w:rPr>
        <w:t>Closed-loop sizing (Config A with r &gt; 0):</w:t>
      </w:r>
    </w:p>
    <w:p>
      <w:pPr>
        <w:spacing w:after="120"/>
      </w:pPr>
      <w:r>
        <w:rPr>
          <w:rFonts w:ascii="Times New Roman" w:hAnsi="Times New Roman"/>
          <w:b w:val="0"/>
          <w:i w:val="0"/>
          <w:sz w:val="22"/>
        </w:rPr>
        <w:t>When exhaust air is recirculated, the same air stream passes through both the evaporator and condenser. The first law of thermodynamics (Eq. 3.21) creates a direct coupling: the condenser heat output is constrained by the evaporator heat absorption plus compressor work. The evaporator extracts heat from the warm, humid mixed air (recirculated exhaust + fresh ambient):</w:t>
      </w:r>
    </w:p>
    <w:p>
      <w:pPr>
        <w:spacing w:before="60" w:after="60"/>
        <w:jc w:val="center"/>
      </w:pPr>
      <w:r>
        <w:rPr>
          <w:rFonts w:ascii="Cambria Math" w:hAnsi="Cambria Math"/>
          <w:sz w:val="22"/>
        </w:rPr>
        <w:t>Q_evap,air = ṁ_da × (h_before,evap − h_after,evap)</w:t>
      </w:r>
      <w:r>
        <w:rPr>
          <w:rFonts w:ascii="Times New Roman" w:hAnsi="Times New Roman"/>
          <w:sz w:val="20"/>
        </w:rPr>
        <w:t xml:space="preserve">    (3.24)</w:t>
      </w:r>
    </w:p>
    <w:p>
      <w:pPr>
        <w:spacing w:before="60" w:after="60"/>
        <w:jc w:val="center"/>
      </w:pPr>
      <w:r>
        <w:rPr>
          <w:rFonts w:ascii="Cambria Math" w:hAnsi="Cambria Math"/>
          <w:sz w:val="22"/>
        </w:rPr>
        <w:t>Q_cond,1st law = Q_evap,air × COP / (COP − η_mech)</w:t>
      </w:r>
      <w:r>
        <w:rPr>
          <w:rFonts w:ascii="Times New Roman" w:hAnsi="Times New Roman"/>
          <w:sz w:val="20"/>
        </w:rPr>
        <w:t xml:space="preserve">    (3.25)</w:t>
      </w:r>
    </w:p>
    <w:p>
      <w:pPr>
        <w:spacing w:after="120"/>
      </w:pPr>
      <w:r>
        <w:rPr>
          <w:rFonts w:ascii="Times New Roman" w:hAnsi="Times New Roman"/>
          <w:b w:val="0"/>
          <w:i w:val="0"/>
          <w:sz w:val="22"/>
        </w:rPr>
        <w:t>The actual condenser output is the minimum of the first-law limit and the heating requirement. When Q_cond,1st law is less than the heating requirement, the chamber inlet temperature floats below T_set.</w:t>
      </w:r>
    </w:p>
    <w:p>
      <w:pPr>
        <w:pStyle w:val="Heading3"/>
      </w:pPr>
      <w:r>
        <w:rPr>
          <w:color w:val="000000"/>
        </w:rPr>
        <w:t>3.3.3.2 Evaporator Air-Side Model</w:t>
      </w:r>
    </w:p>
    <w:p>
      <w:pPr>
        <w:spacing w:after="120"/>
      </w:pPr>
      <w:r>
        <w:rPr>
          <w:rFonts w:ascii="Times New Roman" w:hAnsi="Times New Roman"/>
          <w:b w:val="0"/>
          <w:i w:val="0"/>
          <w:sz w:val="22"/>
        </w:rPr>
        <w:t>The evaporator uses an effectiveness-based model equivalent to the contact factor method of Chou and Chua (1994). The air outlet temperature is:</w:t>
      </w:r>
    </w:p>
    <w:p>
      <w:pPr>
        <w:spacing w:before="60" w:after="60"/>
        <w:jc w:val="center"/>
      </w:pPr>
      <w:r>
        <w:rPr>
          <w:rFonts w:ascii="Cambria Math" w:hAnsi="Cambria Math"/>
          <w:sz w:val="22"/>
        </w:rPr>
        <w:t>T_air,out = T_air,in − ε_evap × (T_air,in − T_coil)</w:t>
      </w:r>
      <w:r>
        <w:rPr>
          <w:rFonts w:ascii="Times New Roman" w:hAnsi="Times New Roman"/>
          <w:sz w:val="20"/>
        </w:rPr>
        <w:t xml:space="preserve">    (3.26)</w:t>
      </w:r>
    </w:p>
    <w:p>
      <w:pPr>
        <w:spacing w:after="120"/>
      </w:pPr>
      <w:r>
        <w:rPr>
          <w:rFonts w:ascii="Times New Roman" w:hAnsi="Times New Roman"/>
          <w:b w:val="0"/>
          <w:i w:val="0"/>
          <w:sz w:val="22"/>
        </w:rPr>
        <w:t>where the coil surface temperature is:</w:t>
      </w:r>
    </w:p>
    <w:p>
      <w:pPr>
        <w:spacing w:before="60" w:after="60"/>
        <w:jc w:val="center"/>
      </w:pPr>
      <w:r>
        <w:rPr>
          <w:rFonts w:ascii="Cambria Math" w:hAnsi="Cambria Math"/>
          <w:sz w:val="22"/>
        </w:rPr>
        <w:t>T_coil = T_evap,sat + ΔT_approach</w:t>
      </w:r>
      <w:r>
        <w:rPr>
          <w:rFonts w:ascii="Times New Roman" w:hAnsi="Times New Roman"/>
          <w:sz w:val="20"/>
        </w:rPr>
        <w:t xml:space="preserve">    (3.27)</w:t>
      </w:r>
    </w:p>
    <w:p>
      <w:pPr>
        <w:spacing w:after="120"/>
      </w:pPr>
      <w:r>
        <w:rPr>
          <w:rFonts w:ascii="Times New Roman" w:hAnsi="Times New Roman"/>
          <w:b w:val="0"/>
          <w:i w:val="0"/>
          <w:sz w:val="22"/>
        </w:rPr>
        <w:t>Dehumidification occurs when the air is cooled below its dewpoint. In this case, the outlet air exits at saturation:</w:t>
      </w:r>
    </w:p>
    <w:p>
      <w:pPr>
        <w:spacing w:before="60" w:after="60"/>
        <w:jc w:val="center"/>
      </w:pPr>
      <w:r>
        <w:rPr>
          <w:rFonts w:ascii="Cambria Math" w:hAnsi="Cambria Math"/>
          <w:sz w:val="22"/>
        </w:rPr>
        <w:t>If T_air,out &lt; T_dp:  ω_out = ω_sat(T_air,out)  (saturated)</w:t>
      </w:r>
      <w:r>
        <w:rPr>
          <w:rFonts w:ascii="Times New Roman" w:hAnsi="Times New Roman"/>
          <w:sz w:val="20"/>
        </w:rPr>
        <w:t xml:space="preserve">    (3.28)</w:t>
      </w:r>
    </w:p>
    <w:p>
      <w:pPr>
        <w:spacing w:before="60" w:after="60"/>
        <w:jc w:val="center"/>
      </w:pPr>
      <w:r>
        <w:rPr>
          <w:rFonts w:ascii="Cambria Math" w:hAnsi="Cambria Math"/>
          <w:sz w:val="22"/>
        </w:rPr>
        <w:t>If T_air,out ≥ T_dp:  ω_out = ω_in  (no condensation)</w:t>
      </w:r>
      <w:r>
        <w:rPr>
          <w:rFonts w:ascii="Times New Roman" w:hAnsi="Times New Roman"/>
          <w:sz w:val="20"/>
        </w:rPr>
        <w:t xml:space="preserve">    (3.29)</w:t>
      </w:r>
    </w:p>
    <w:p>
      <w:pPr>
        <w:pStyle w:val="Heading3"/>
      </w:pPr>
      <w:r>
        <w:rPr>
          <w:color w:val="000000"/>
        </w:rPr>
        <w:t>3.3.3.3 Condenser Air-Side Model</w:t>
      </w:r>
    </w:p>
    <w:p>
      <w:pPr>
        <w:spacing w:after="120"/>
      </w:pPr>
      <w:r>
        <w:rPr>
          <w:rFonts w:ascii="Times New Roman" w:hAnsi="Times New Roman"/>
          <w:b w:val="0"/>
          <w:i w:val="0"/>
          <w:sz w:val="22"/>
        </w:rPr>
        <w:t>The condenser performs sensible heating only (no moisture change). The air outlet temperature is limited by the condenser effectiveness:</w:t>
      </w:r>
    </w:p>
    <w:p>
      <w:pPr>
        <w:spacing w:before="60" w:after="60"/>
        <w:jc w:val="center"/>
      </w:pPr>
      <w:r>
        <w:rPr>
          <w:rFonts w:ascii="Cambria Math" w:hAnsi="Cambria Math"/>
          <w:sz w:val="22"/>
        </w:rPr>
        <w:t>T_air,out = T_air,in + ε_cond × (T_cond,sat − T_air,in)</w:t>
      </w:r>
      <w:r>
        <w:rPr>
          <w:rFonts w:ascii="Times New Roman" w:hAnsi="Times New Roman"/>
          <w:sz w:val="20"/>
        </w:rPr>
        <w:t xml:space="preserve">    (3.30)</w:t>
      </w:r>
    </w:p>
    <w:p>
      <w:pPr>
        <w:spacing w:after="120"/>
      </w:pPr>
      <w:r>
        <w:rPr>
          <w:rFonts w:ascii="Times New Roman" w:hAnsi="Times New Roman"/>
          <w:b w:val="0"/>
          <w:i w:val="0"/>
          <w:sz w:val="22"/>
        </w:rPr>
        <w:t>where T_cond,sat = T_set + 10 K is the condenser saturation temperature. The air outlet temperature is clamped to T_set to prevent overheating. The humidity ratio is unchanged through the condenser (ω_out = ω_in).</w:t>
      </w:r>
    </w:p>
    <w:p>
      <w:pPr>
        <w:pStyle w:val="Heading2"/>
      </w:pPr>
      <w:r>
        <w:rPr>
          <w:color w:val="000000"/>
        </w:rPr>
        <w:t>3.3.4 Heat Recovery Exchanger (HRX)</w:t>
      </w:r>
    </w:p>
    <w:p>
      <w:pPr>
        <w:spacing w:after="120"/>
      </w:pPr>
      <w:r>
        <w:rPr>
          <w:rFonts w:ascii="Times New Roman" w:hAnsi="Times New Roman"/>
          <w:b w:val="0"/>
          <w:i w:val="0"/>
          <w:sz w:val="22"/>
        </w:rPr>
        <w:t>The HRX is modeled as a counter-flow sensible heat exchanger that transfers heat from the warm chamber exhaust (hot side) to the cold incoming ambient air (cold side). Only sensible heat is exchanged through the solid wall; no moisture transfer occurs on the cold side. This is preferred over an enthalpy recovery ventilator (ERV) because moisture transfer from the humid exhaust back to the inlet air would be counterproductive for drying (Fadhel et al., 2011).</w:t>
      </w:r>
    </w:p>
    <w:p>
      <w:pPr>
        <w:spacing w:after="120"/>
      </w:pPr>
      <w:r>
        <w:rPr>
          <w:rFonts w:ascii="Times New Roman" w:hAnsi="Times New Roman"/>
          <w:b w:val="0"/>
          <w:i w:val="0"/>
          <w:sz w:val="22"/>
        </w:rPr>
        <w:t>Outlet temperatures:</w:t>
      </w:r>
    </w:p>
    <w:p>
      <w:pPr>
        <w:spacing w:before="60" w:after="60"/>
        <w:jc w:val="center"/>
      </w:pPr>
      <w:r>
        <w:rPr>
          <w:rFonts w:ascii="Cambria Math" w:hAnsi="Cambria Math"/>
          <w:sz w:val="22"/>
        </w:rPr>
        <w:t>T_amb,heated = T_amb + ε_HRX × (T_exhaust − T_amb)</w:t>
      </w:r>
      <w:r>
        <w:rPr>
          <w:rFonts w:ascii="Times New Roman" w:hAnsi="Times New Roman"/>
          <w:sz w:val="20"/>
        </w:rPr>
        <w:t xml:space="preserve">    (3.31)</w:t>
      </w:r>
    </w:p>
    <w:p>
      <w:pPr>
        <w:spacing w:before="60" w:after="60"/>
        <w:jc w:val="center"/>
      </w:pPr>
      <w:r>
        <w:rPr>
          <w:rFonts w:ascii="Cambria Math" w:hAnsi="Cambria Math"/>
          <w:sz w:val="22"/>
        </w:rPr>
        <w:t>T_exh,cooled = T_exhaust − ε_HRX × (T_exhaust − T_amb)</w:t>
      </w:r>
      <w:r>
        <w:rPr>
          <w:rFonts w:ascii="Times New Roman" w:hAnsi="Times New Roman"/>
          <w:sz w:val="20"/>
        </w:rPr>
        <w:t xml:space="preserve">    (3.32)</w:t>
      </w:r>
    </w:p>
    <w:p>
      <w:pPr>
        <w:spacing w:after="120"/>
      </w:pPr>
      <w:r>
        <w:rPr>
          <w:rFonts w:ascii="Times New Roman" w:hAnsi="Times New Roman"/>
          <w:b w:val="0"/>
          <w:i w:val="0"/>
          <w:sz w:val="22"/>
        </w:rPr>
        <w:t>If the exhaust stream is cooled below its dewpoint on the hot side, condensation occurs and the exhaust exits at saturation conditions. The HRX effectiveness is set to ε_HRX = 0.70, consistent with values reported for plate-type heat exchangers in drying applications (Jouhara et al., 2017).</w:t>
      </w:r>
    </w:p>
    <w:p>
      <w:pPr>
        <w:pStyle w:val="Heading2"/>
      </w:pPr>
      <w:r>
        <w:rPr>
          <w:color w:val="000000"/>
        </w:rPr>
        <w:t>3.3.5 VPD-Based Exhaust Bypass Strategy</w:t>
      </w:r>
    </w:p>
    <w:p>
      <w:pPr>
        <w:spacing w:after="120"/>
      </w:pPr>
      <w:r>
        <w:rPr>
          <w:rFonts w:ascii="Times New Roman" w:hAnsi="Times New Roman"/>
          <w:b w:val="0"/>
          <w:i w:val="0"/>
          <w:sz w:val="22"/>
        </w:rPr>
        <w:t>For configurations D and E, a vapor pressure deficit (VPD) exhaust bypass strategy is implemented to improve energy efficiency during the late drying phase. When the product approaches equilibrium moisture, the exhaust air leaves the chamber relatively dry and warm. In this condition, the HRX transfers heat from exhaust air that has substantial drying potential remaining. The VPD bypass routes exhaust air directly to exhaust (bypassing the HRX) when drying potential is low, preventing unnecessary heat recovery from air that should be expelled.</w:t>
      </w:r>
    </w:p>
    <w:p>
      <w:pPr>
        <w:spacing w:after="120"/>
      </w:pPr>
      <w:r>
        <w:rPr>
          <w:rFonts w:ascii="Times New Roman" w:hAnsi="Times New Roman"/>
          <w:b w:val="0"/>
          <w:i w:val="0"/>
          <w:sz w:val="22"/>
        </w:rPr>
        <w:t>The VPD utilization fraction is defined as:</w:t>
      </w:r>
    </w:p>
    <w:p>
      <w:pPr>
        <w:spacing w:before="60" w:after="60"/>
        <w:jc w:val="center"/>
      </w:pPr>
      <w:r>
        <w:rPr>
          <w:rFonts w:ascii="Cambria Math" w:hAnsi="Cambria Math"/>
          <w:sz w:val="22"/>
        </w:rPr>
        <w:t>VPD_util = (ω_exhaust − ω_inlet) / ω_inlet</w:t>
      </w:r>
      <w:r>
        <w:rPr>
          <w:rFonts w:ascii="Times New Roman" w:hAnsi="Times New Roman"/>
          <w:sz w:val="20"/>
        </w:rPr>
        <w:t xml:space="preserve">    (3.33)</w:t>
      </w:r>
    </w:p>
    <w:p>
      <w:pPr>
        <w:spacing w:after="120"/>
      </w:pPr>
      <w:r>
        <w:rPr>
          <w:rFonts w:ascii="Times New Roman" w:hAnsi="Times New Roman"/>
          <w:b w:val="0"/>
          <w:i w:val="0"/>
          <w:sz w:val="22"/>
        </w:rPr>
        <w:t>The bypass engages when VPD_util falls below a threshold (typically 0.05), with a 3× hysteresis band and a 600-second dwell time to prevent oscillation.</w:t>
      </w:r>
    </w:p>
    <w:p>
      <w:pPr>
        <w:pStyle w:val="Heading1"/>
      </w:pPr>
      <w:r>
        <w:rPr>
          <w:color w:val="000000"/>
        </w:rPr>
        <w:t>3.4 Drying Kinetics Model</w:t>
      </w:r>
    </w:p>
    <w:p>
      <w:pPr>
        <w:spacing w:after="120"/>
      </w:pPr>
      <w:r>
        <w:rPr>
          <w:rFonts w:ascii="Times New Roman" w:hAnsi="Times New Roman"/>
          <w:b w:val="0"/>
          <w:i w:val="0"/>
          <w:sz w:val="22"/>
        </w:rPr>
        <w:t>The drying kinetics are modeled using a parametric effective drying coefficient K_eff fitted from experimental data. The moisture ratio (MR) is defined as:</w:t>
      </w:r>
    </w:p>
    <w:p>
      <w:pPr>
        <w:spacing w:before="60" w:after="60"/>
        <w:jc w:val="center"/>
      </w:pPr>
      <w:r>
        <w:rPr>
          <w:rFonts w:ascii="Cambria Math" w:hAnsi="Cambria Math"/>
          <w:sz w:val="22"/>
        </w:rPr>
        <w:t>MR = (X − X_eq) / (X_0 − X_eq)</w:t>
      </w:r>
      <w:r>
        <w:rPr>
          <w:rFonts w:ascii="Times New Roman" w:hAnsi="Times New Roman"/>
          <w:sz w:val="20"/>
        </w:rPr>
        <w:t xml:space="preserve">    (3.34)</w:t>
      </w:r>
    </w:p>
    <w:p>
      <w:pPr>
        <w:spacing w:after="120"/>
      </w:pPr>
      <w:r>
        <w:rPr>
          <w:rFonts w:ascii="Times New Roman" w:hAnsi="Times New Roman"/>
          <w:b w:val="0"/>
          <w:i w:val="0"/>
          <w:sz w:val="22"/>
        </w:rPr>
        <w:t>where X is the current moisture content (kg water/kg dry solid), X_0 = 6.5 is the initial moisture content, and X_eq is the dynamic equilibrium moisture content from the GAB isotherm.</w:t>
      </w:r>
    </w:p>
    <w:p>
      <w:pPr>
        <w:pStyle w:val="Heading2"/>
      </w:pPr>
      <w:r>
        <w:rPr>
          <w:color w:val="000000"/>
        </w:rPr>
        <w:t>3.4.1 GAB Sorption Isotherm</w:t>
      </w:r>
    </w:p>
    <w:p>
      <w:pPr>
        <w:spacing w:after="120"/>
      </w:pPr>
      <w:r>
        <w:rPr>
          <w:rFonts w:ascii="Times New Roman" w:hAnsi="Times New Roman"/>
          <w:b w:val="0"/>
          <w:i w:val="0"/>
          <w:sz w:val="22"/>
        </w:rPr>
        <w:t>The equilibrium moisture content is computed using the temperature-dependent GAB (Guggenheim–Anderson–de Boer) model (Kaymak-Ertekin and Gedik, 2004):</w:t>
      </w:r>
    </w:p>
    <w:p>
      <w:pPr>
        <w:spacing w:before="60" w:after="60"/>
        <w:jc w:val="center"/>
      </w:pPr>
      <w:r>
        <w:rPr>
          <w:rFonts w:ascii="Cambria Math" w:hAnsi="Cambria Math"/>
          <w:sz w:val="22"/>
        </w:rPr>
        <w:t>X_eq = (X_m × C × K × a_w) / ((1 − K·a_w) × (1 − K·a_w + C·K·a_w))</w:t>
      </w:r>
      <w:r>
        <w:rPr>
          <w:rFonts w:ascii="Times New Roman" w:hAnsi="Times New Roman"/>
          <w:sz w:val="20"/>
        </w:rPr>
        <w:t xml:space="preserve">    (3.35)</w:t>
      </w:r>
    </w:p>
    <w:p>
      <w:pPr>
        <w:spacing w:after="120"/>
      </w:pPr>
      <w:r>
        <w:rPr>
          <w:rFonts w:ascii="Times New Roman" w:hAnsi="Times New Roman"/>
          <w:b w:val="0"/>
          <w:i w:val="0"/>
          <w:sz w:val="22"/>
        </w:rPr>
        <w:t>where a_w = RH (water activity equals relative humidity at equilibrium), and X_m, C, K are temperature-dependent parameters with Arrhenius-type dependence. Typical values at drying conditions (45°C, 10–40% RH) yield X_eq ≈ 0.04–0.08 kg/kg d.b.</w:t>
      </w:r>
    </w:p>
    <w:p>
      <w:pPr>
        <w:pStyle w:val="Heading2"/>
      </w:pPr>
      <w:r>
        <w:rPr>
          <w:color w:val="000000"/>
        </w:rPr>
        <w:t>3.4.2 Parametric Effective Drying Coefficient</w:t>
      </w:r>
    </w:p>
    <w:p>
      <w:pPr>
        <w:spacing w:after="120"/>
      </w:pPr>
      <w:r>
        <w:rPr>
          <w:rFonts w:ascii="Times New Roman" w:hAnsi="Times New Roman"/>
          <w:b w:val="0"/>
          <w:i w:val="0"/>
          <w:sz w:val="22"/>
        </w:rPr>
        <w:t>The effective drying coefficient K_eff is modeled as a log-linear function of temperature, relative humidity, and air velocity, fitted by ordinary least squares regression to 13 experimental drying curves from Phase 2:</w:t>
      </w:r>
    </w:p>
    <w:p>
      <w:pPr>
        <w:spacing w:before="60" w:after="60"/>
        <w:jc w:val="center"/>
      </w:pPr>
      <w:r>
        <w:rPr>
          <w:rFonts w:ascii="Cambria Math" w:hAnsi="Cambria Math"/>
          <w:sz w:val="22"/>
        </w:rPr>
        <w:t>ln(K_eff) = b_0 + b_1·T + b_2·RH + b_3·v + b_4·(T×RH)</w:t>
      </w:r>
      <w:r>
        <w:rPr>
          <w:rFonts w:ascii="Times New Roman" w:hAnsi="Times New Roman"/>
          <w:sz w:val="20"/>
        </w:rPr>
        <w:t xml:space="preserve">    (3.36)</w:t>
      </w:r>
    </w:p>
    <w:p>
      <w:pPr>
        <w:spacing w:after="80"/>
      </w:pPr>
      <w:r>
        <w:rPr>
          <w:rFonts w:ascii="Times New Roman" w:hAnsi="Times New Roman"/>
          <w:b/>
          <w:sz w:val="20"/>
        </w:rPr>
        <w:t>Table 3.5: Parametric K_eff model coefficients (R² = 0.90)</w:t>
      </w:r>
    </w:p>
    <w:tbl>
      <w:tblPr>
        <w:tblStyle w:val="LightShading-Accent1"/>
        <w:tblW w:type="auto" w:w="0"/>
        <w:jc w:val="center"/>
        <w:tblLook w:firstColumn="1" w:firstRow="1" w:lastColumn="0" w:lastRow="0" w:noHBand="0" w:noVBand="1" w:val="04A0"/>
      </w:tblPr>
      <w:tblGrid>
        <w:gridCol w:w="3033"/>
        <w:gridCol w:w="3033"/>
        <w:gridCol w:w="3033"/>
      </w:tblGrid>
      <w:tr>
        <w:tc>
          <w:tcPr>
            <w:tcW w:type="dxa" w:w="3033"/>
          </w:tcPr>
          <w:p>
            <w:pPr>
              <w:jc w:val="center"/>
            </w:pPr>
            <w:r>
              <w:rPr>
                <w:rFonts w:ascii="Times New Roman" w:hAnsi="Times New Roman"/>
                <w:b/>
                <w:sz w:val="18"/>
              </w:rPr>
              <w:t>Coefficient</w:t>
            </w:r>
          </w:p>
        </w:tc>
        <w:tc>
          <w:tcPr>
            <w:tcW w:type="dxa" w:w="3033"/>
          </w:tcPr>
          <w:p>
            <w:pPr>
              <w:jc w:val="center"/>
            </w:pPr>
            <w:r>
              <w:rPr>
                <w:rFonts w:ascii="Times New Roman" w:hAnsi="Times New Roman"/>
                <w:b/>
                <w:sz w:val="18"/>
              </w:rPr>
              <w:t>Value</w:t>
            </w:r>
          </w:p>
        </w:tc>
        <w:tc>
          <w:tcPr>
            <w:tcW w:type="dxa" w:w="3033"/>
          </w:tcPr>
          <w:p>
            <w:pPr>
              <w:jc w:val="center"/>
            </w:pPr>
            <w:r>
              <w:rPr>
                <w:rFonts w:ascii="Times New Roman" w:hAnsi="Times New Roman"/>
                <w:b/>
                <w:sz w:val="18"/>
              </w:rPr>
              <w:t>Description</w:t>
            </w:r>
          </w:p>
        </w:tc>
      </w:tr>
      <w:tr>
        <w:tc>
          <w:tcPr>
            <w:tcW w:type="dxa" w:w="3033"/>
          </w:tcPr>
          <w:p>
            <w:pPr>
              <w:jc w:val="center"/>
            </w:pPr>
            <w:r>
              <w:rPr>
                <w:rFonts w:ascii="Times New Roman" w:hAnsi="Times New Roman"/>
                <w:sz w:val="18"/>
              </w:rPr>
              <w:t>b_0</w:t>
            </w:r>
          </w:p>
        </w:tc>
        <w:tc>
          <w:tcPr>
            <w:tcW w:type="dxa" w:w="3033"/>
          </w:tcPr>
          <w:p>
            <w:pPr>
              <w:jc w:val="center"/>
            </w:pPr>
            <w:r>
              <w:rPr>
                <w:rFonts w:ascii="Times New Roman" w:hAnsi="Times New Roman"/>
                <w:sz w:val="18"/>
              </w:rPr>
              <w:t>−11.58</w:t>
            </w:r>
          </w:p>
        </w:tc>
        <w:tc>
          <w:tcPr>
            <w:tcW w:type="dxa" w:w="3033"/>
          </w:tcPr>
          <w:p>
            <w:pPr>
              <w:jc w:val="center"/>
            </w:pPr>
            <w:r>
              <w:rPr>
                <w:rFonts w:ascii="Times New Roman" w:hAnsi="Times New Roman"/>
                <w:sz w:val="18"/>
              </w:rPr>
              <w:t>Intercept</w:t>
            </w:r>
          </w:p>
        </w:tc>
      </w:tr>
      <w:tr>
        <w:tc>
          <w:tcPr>
            <w:tcW w:type="dxa" w:w="3033"/>
          </w:tcPr>
          <w:p>
            <w:pPr>
              <w:jc w:val="center"/>
            </w:pPr>
            <w:r>
              <w:rPr>
                <w:rFonts w:ascii="Times New Roman" w:hAnsi="Times New Roman"/>
                <w:sz w:val="18"/>
              </w:rPr>
              <w:t>b_1</w:t>
            </w:r>
          </w:p>
        </w:tc>
        <w:tc>
          <w:tcPr>
            <w:tcW w:type="dxa" w:w="3033"/>
          </w:tcPr>
          <w:p>
            <w:pPr>
              <w:jc w:val="center"/>
            </w:pPr>
            <w:r>
              <w:rPr>
                <w:rFonts w:ascii="Times New Roman" w:hAnsi="Times New Roman"/>
                <w:sz w:val="18"/>
              </w:rPr>
              <w:t>0.0524</w:t>
            </w:r>
          </w:p>
        </w:tc>
        <w:tc>
          <w:tcPr>
            <w:tcW w:type="dxa" w:w="3033"/>
          </w:tcPr>
          <w:p>
            <w:pPr>
              <w:jc w:val="center"/>
            </w:pPr>
            <w:r>
              <w:rPr>
                <w:rFonts w:ascii="Times New Roman" w:hAnsi="Times New Roman"/>
                <w:sz w:val="18"/>
              </w:rPr>
              <w:t>Temperature effect [°C⁻¹]</w:t>
            </w:r>
          </w:p>
        </w:tc>
      </w:tr>
      <w:tr>
        <w:tc>
          <w:tcPr>
            <w:tcW w:type="dxa" w:w="3033"/>
          </w:tcPr>
          <w:p>
            <w:pPr>
              <w:jc w:val="center"/>
            </w:pPr>
            <w:r>
              <w:rPr>
                <w:rFonts w:ascii="Times New Roman" w:hAnsi="Times New Roman"/>
                <w:sz w:val="18"/>
              </w:rPr>
              <w:t>b_2</w:t>
            </w:r>
          </w:p>
        </w:tc>
        <w:tc>
          <w:tcPr>
            <w:tcW w:type="dxa" w:w="3033"/>
          </w:tcPr>
          <w:p>
            <w:pPr>
              <w:jc w:val="center"/>
            </w:pPr>
            <w:r>
              <w:rPr>
                <w:rFonts w:ascii="Times New Roman" w:hAnsi="Times New Roman"/>
                <w:sz w:val="18"/>
              </w:rPr>
              <w:t>−1.876</w:t>
            </w:r>
          </w:p>
        </w:tc>
        <w:tc>
          <w:tcPr>
            <w:tcW w:type="dxa" w:w="3033"/>
          </w:tcPr>
          <w:p>
            <w:pPr>
              <w:jc w:val="center"/>
            </w:pPr>
            <w:r>
              <w:rPr>
                <w:rFonts w:ascii="Times New Roman" w:hAnsi="Times New Roman"/>
                <w:sz w:val="18"/>
              </w:rPr>
              <w:t>Relative humidity effect</w:t>
            </w:r>
          </w:p>
        </w:tc>
      </w:tr>
      <w:tr>
        <w:tc>
          <w:tcPr>
            <w:tcW w:type="dxa" w:w="3033"/>
          </w:tcPr>
          <w:p>
            <w:pPr>
              <w:jc w:val="center"/>
            </w:pPr>
            <w:r>
              <w:rPr>
                <w:rFonts w:ascii="Times New Roman" w:hAnsi="Times New Roman"/>
                <w:sz w:val="18"/>
              </w:rPr>
              <w:t>b_3</w:t>
            </w:r>
          </w:p>
        </w:tc>
        <w:tc>
          <w:tcPr>
            <w:tcW w:type="dxa" w:w="3033"/>
          </w:tcPr>
          <w:p>
            <w:pPr>
              <w:jc w:val="center"/>
            </w:pPr>
            <w:r>
              <w:rPr>
                <w:rFonts w:ascii="Times New Roman" w:hAnsi="Times New Roman"/>
                <w:sz w:val="18"/>
              </w:rPr>
              <w:t>0.611</w:t>
            </w:r>
          </w:p>
        </w:tc>
        <w:tc>
          <w:tcPr>
            <w:tcW w:type="dxa" w:w="3033"/>
          </w:tcPr>
          <w:p>
            <w:pPr>
              <w:jc w:val="center"/>
            </w:pPr>
            <w:r>
              <w:rPr>
                <w:rFonts w:ascii="Times New Roman" w:hAnsi="Times New Roman"/>
                <w:sz w:val="18"/>
              </w:rPr>
              <w:t>Air velocity effect [s/m]</w:t>
            </w:r>
          </w:p>
        </w:tc>
      </w:tr>
      <w:tr>
        <w:tc>
          <w:tcPr>
            <w:tcW w:type="dxa" w:w="3033"/>
          </w:tcPr>
          <w:p>
            <w:pPr>
              <w:jc w:val="center"/>
            </w:pPr>
            <w:r>
              <w:rPr>
                <w:rFonts w:ascii="Times New Roman" w:hAnsi="Times New Roman"/>
                <w:sz w:val="18"/>
              </w:rPr>
              <w:t>b_4</w:t>
            </w:r>
          </w:p>
        </w:tc>
        <w:tc>
          <w:tcPr>
            <w:tcW w:type="dxa" w:w="3033"/>
          </w:tcPr>
          <w:p>
            <w:pPr>
              <w:jc w:val="center"/>
            </w:pPr>
            <w:r>
              <w:rPr>
                <w:rFonts w:ascii="Times New Roman" w:hAnsi="Times New Roman"/>
                <w:sz w:val="18"/>
              </w:rPr>
              <w:t>0.0132</w:t>
            </w:r>
          </w:p>
        </w:tc>
        <w:tc>
          <w:tcPr>
            <w:tcW w:type="dxa" w:w="3033"/>
          </w:tcPr>
          <w:p>
            <w:pPr>
              <w:jc w:val="center"/>
            </w:pPr>
            <w:r>
              <w:rPr>
                <w:rFonts w:ascii="Times New Roman" w:hAnsi="Times New Roman"/>
                <w:sz w:val="18"/>
              </w:rPr>
              <w:t>T×RH interaction</w:t>
            </w:r>
          </w:p>
        </w:tc>
      </w:tr>
    </w:tbl>
    <w:p/>
    <w:p>
      <w:pPr>
        <w:spacing w:after="120"/>
      </w:pPr>
      <w:r>
        <w:rPr>
          <w:rFonts w:ascii="Times New Roman" w:hAnsi="Times New Roman"/>
          <w:b w:val="0"/>
          <w:i w:val="0"/>
          <w:sz w:val="22"/>
        </w:rPr>
        <w:t>This parametric model provides smooth, continuous K_eff values across the operating envelope, naturally handling interpolation between experimental points.</w:t>
      </w:r>
    </w:p>
    <w:p>
      <w:pPr>
        <w:pStyle w:val="Heading2"/>
      </w:pPr>
      <w:r>
        <w:rPr>
          <w:color w:val="000000"/>
        </w:rPr>
        <w:t>3.4.3 Moisture Content Update</w:t>
      </w:r>
    </w:p>
    <w:p>
      <w:pPr>
        <w:spacing w:after="120"/>
      </w:pPr>
      <w:r>
        <w:rPr>
          <w:rFonts w:ascii="Times New Roman" w:hAnsi="Times New Roman"/>
          <w:b w:val="0"/>
          <w:i w:val="0"/>
          <w:sz w:val="22"/>
        </w:rPr>
        <w:t>The moisture content of each tray is updated at each timestep using a first-order finite difference scheme:</w:t>
      </w:r>
    </w:p>
    <w:p>
      <w:pPr>
        <w:spacing w:before="60" w:after="60"/>
        <w:jc w:val="center"/>
      </w:pPr>
      <w:r>
        <w:rPr>
          <w:rFonts w:ascii="Cambria Math" w:hAnsi="Cambria Math"/>
          <w:sz w:val="22"/>
        </w:rPr>
        <w:t>X_{k+1} = X_k − K_eff(T, RH, v) × (X_k − X_eq) × Δt</w:t>
      </w:r>
      <w:r>
        <w:rPr>
          <w:rFonts w:ascii="Times New Roman" w:hAnsi="Times New Roman"/>
          <w:sz w:val="20"/>
        </w:rPr>
        <w:t xml:space="preserve">    (3.37)</w:t>
      </w:r>
    </w:p>
    <w:p>
      <w:pPr>
        <w:spacing w:after="120"/>
      </w:pPr>
      <w:r>
        <w:rPr>
          <w:rFonts w:ascii="Times New Roman" w:hAnsi="Times New Roman"/>
          <w:b w:val="0"/>
          <w:i w:val="0"/>
          <w:sz w:val="22"/>
        </w:rPr>
        <w:t>subject to the constraint X_{k+1} ≥ X_eq. The actual water removal rate from each tray is the minimum of three physical limits:</w:t>
      </w:r>
    </w:p>
    <w:p>
      <w:pPr>
        <w:pStyle w:val="ListBullet"/>
      </w:pPr>
      <w:r>
        <w:rPr>
          <w:rFonts w:ascii="Times New Roman" w:hAnsi="Times New Roman"/>
          <w:b/>
          <w:sz w:val="22"/>
        </w:rPr>
        <w:t xml:space="preserve">(1) </w:t>
      </w:r>
      <w:r>
        <w:rPr>
          <w:rFonts w:ascii="Times New Roman" w:hAnsi="Times New Roman"/>
          <w:sz w:val="22"/>
        </w:rPr>
        <w:t>Kinetic limit: dṁ_w,kinetic = K_eff × (X − X_eq) × m_dry / Δt</w:t>
      </w:r>
    </w:p>
    <w:p>
      <w:pPr>
        <w:pStyle w:val="ListBullet"/>
      </w:pPr>
      <w:r>
        <w:rPr>
          <w:rFonts w:ascii="Times New Roman" w:hAnsi="Times New Roman"/>
          <w:b/>
          <w:sz w:val="22"/>
        </w:rPr>
        <w:t xml:space="preserve">(2) </w:t>
      </w:r>
      <w:r>
        <w:rPr>
          <w:rFonts w:ascii="Times New Roman" w:hAnsi="Times New Roman"/>
          <w:sz w:val="22"/>
        </w:rPr>
        <w:t>Air capacity limit: dṁ_w,air = ṁ_da × Δω_max  (prevents RH_out &gt; 95%)</w:t>
      </w:r>
    </w:p>
    <w:p>
      <w:pPr>
        <w:pStyle w:val="ListBullet"/>
      </w:pPr>
      <w:r>
        <w:rPr>
          <w:rFonts w:ascii="Times New Roman" w:hAnsi="Times New Roman"/>
          <w:b/>
          <w:sz w:val="22"/>
        </w:rPr>
        <w:t xml:space="preserve">(3) </w:t>
      </w:r>
      <w:r>
        <w:rPr>
          <w:rFonts w:ascii="Times New Roman" w:hAnsi="Times New Roman"/>
          <w:sz w:val="22"/>
        </w:rPr>
        <w:t>Removable moisture: m_removable = (X − X_eq) × m_dry</w:t>
      </w:r>
    </w:p>
    <w:p>
      <w:pPr>
        <w:pStyle w:val="Heading1"/>
      </w:pPr>
      <w:r>
        <w:rPr>
          <w:color w:val="000000"/>
        </w:rPr>
        <w:t>3.5 Multi-Tray Chamber Model</w:t>
      </w:r>
    </w:p>
    <w:p>
      <w:pPr>
        <w:spacing w:after="120"/>
      </w:pPr>
      <w:r>
        <w:rPr>
          <w:rFonts w:ascii="Times New Roman" w:hAnsi="Times New Roman"/>
          <w:b w:val="0"/>
          <w:i w:val="0"/>
          <w:sz w:val="22"/>
        </w:rPr>
        <w:t>The drying chamber consists of 10 trays arranged in a series cascade. Air enters at Tray 1 (hottest, driest air) and exits from Tray 10 (coolest, most humid). At each timestep, air conditions are updated sequentially through the tray stack:</w:t>
      </w:r>
    </w:p>
    <w:p>
      <w:pPr>
        <w:spacing w:before="60" w:after="60"/>
        <w:jc w:val="center"/>
      </w:pPr>
      <w:r>
        <w:rPr>
          <w:rFonts w:ascii="Cambria Math" w:hAnsi="Cambria Math"/>
          <w:sz w:val="22"/>
        </w:rPr>
        <w:t>Tray j: (T_j,in, ω_j,in) → drying → (T_j,out, ω_j,out) = (T_{j+1},in, ω_{j+1},in)</w:t>
      </w:r>
    </w:p>
    <w:p>
      <w:pPr>
        <w:spacing w:after="120"/>
      </w:pPr>
      <w:r>
        <w:rPr>
          <w:rFonts w:ascii="Times New Roman" w:hAnsi="Times New Roman"/>
          <w:b w:val="0"/>
          <w:i w:val="0"/>
          <w:sz w:val="22"/>
        </w:rPr>
        <w:t>For each tray, the enthalpy balance accounts for the latent heat of evaporation:</w:t>
      </w:r>
    </w:p>
    <w:p>
      <w:pPr>
        <w:spacing w:before="60" w:after="60"/>
        <w:jc w:val="center"/>
      </w:pPr>
      <w:r>
        <w:rPr>
          <w:rFonts w:ascii="Cambria Math" w:hAnsi="Cambria Math"/>
          <w:sz w:val="22"/>
        </w:rPr>
        <w:t>h_out = h_in − (dṁ_w / ṁ_da) × h_fg</w:t>
      </w:r>
      <w:r>
        <w:rPr>
          <w:rFonts w:ascii="Times New Roman" w:hAnsi="Times New Roman"/>
          <w:sz w:val="20"/>
        </w:rPr>
        <w:t xml:space="preserve">    (3.38)</w:t>
      </w:r>
    </w:p>
    <w:p>
      <w:pPr>
        <w:spacing w:before="60" w:after="60"/>
        <w:jc w:val="center"/>
      </w:pPr>
      <w:r>
        <w:rPr>
          <w:rFonts w:ascii="Cambria Math" w:hAnsi="Cambria Math"/>
          <w:sz w:val="22"/>
        </w:rPr>
        <w:t>ω_out = ω_in + dṁ_w / (ṁ_da × Δt)</w:t>
      </w:r>
      <w:r>
        <w:rPr>
          <w:rFonts w:ascii="Times New Roman" w:hAnsi="Times New Roman"/>
          <w:sz w:val="20"/>
        </w:rPr>
        <w:t xml:space="preserve">    (3.39)</w:t>
      </w:r>
    </w:p>
    <w:p>
      <w:pPr>
        <w:spacing w:after="120"/>
      </w:pPr>
      <w:r>
        <w:rPr>
          <w:rFonts w:ascii="Times New Roman" w:hAnsi="Times New Roman"/>
          <w:b w:val="0"/>
          <w:i w:val="0"/>
          <w:sz w:val="22"/>
        </w:rPr>
        <w:t>where h_fg = 2400 kJ/kg is the latent heat of vaporization at drying conditions. The outlet temperature is recovered from the enthalpy and humidity ratio using the inverse psychrometric relation (Eq. 3.11). The simulation terminates when all 10 trays satisfy X ≤ X_f = 0.10 kg/kg d.b.</w:t>
      </w:r>
    </w:p>
    <w:p>
      <w:pPr>
        <w:spacing w:after="120"/>
      </w:pPr>
      <w:r>
        <w:rPr>
          <w:rFonts w:ascii="Times New Roman" w:hAnsi="Times New Roman"/>
          <w:b w:val="0"/>
          <w:i w:val="0"/>
          <w:sz w:val="22"/>
        </w:rPr>
        <w:t>Due to the cascade arrangement, Tray 1 dries fastest (~4–5 hours) while Tray 10 dries slowest (~15–17 hours). The total drying time is determined by the slowest tray.</w:t>
      </w:r>
    </w:p>
    <w:p>
      <w:pPr>
        <w:pStyle w:val="Heading1"/>
      </w:pPr>
      <w:r>
        <w:rPr>
          <w:color w:val="000000"/>
        </w:rPr>
        <w:t>3.6 Fan Power Model</w:t>
      </w:r>
    </w:p>
    <w:p>
      <w:pPr>
        <w:spacing w:after="120"/>
      </w:pPr>
      <w:r>
        <w:rPr>
          <w:rFonts w:ascii="Times New Roman" w:hAnsi="Times New Roman"/>
          <w:b w:val="0"/>
          <w:i w:val="0"/>
          <w:sz w:val="22"/>
        </w:rPr>
        <w:t>Fan electrical consumption is computed from the air-side pressure drop through the drying chamber using the Darcy–Weisbach equation for each tray channel:</w:t>
      </w:r>
    </w:p>
    <w:p>
      <w:pPr>
        <w:spacing w:before="60" w:after="60"/>
        <w:jc w:val="center"/>
      </w:pPr>
      <w:r>
        <w:rPr>
          <w:rFonts w:ascii="Cambria Math" w:hAnsi="Cambria Math"/>
          <w:sz w:val="22"/>
        </w:rPr>
        <w:t>ΔP = f × (L/D_h) × (ρ × v² / 2) + K_minor × (ρ × v² / 2)</w:t>
      </w:r>
      <w:r>
        <w:rPr>
          <w:rFonts w:ascii="Times New Roman" w:hAnsi="Times New Roman"/>
          <w:sz w:val="20"/>
        </w:rPr>
        <w:t xml:space="preserve">    (3.40)</w:t>
      </w:r>
    </w:p>
    <w:p>
      <w:pPr>
        <w:spacing w:after="120"/>
      </w:pPr>
      <w:r>
        <w:rPr>
          <w:rFonts w:ascii="Times New Roman" w:hAnsi="Times New Roman"/>
          <w:b w:val="0"/>
          <w:i w:val="0"/>
          <w:sz w:val="22"/>
        </w:rPr>
        <w:t>Fan electrical power:</w:t>
      </w:r>
    </w:p>
    <w:p>
      <w:pPr>
        <w:spacing w:before="60" w:after="60"/>
        <w:jc w:val="center"/>
      </w:pPr>
      <w:r>
        <w:rPr>
          <w:rFonts w:ascii="Cambria Math" w:hAnsi="Cambria Math"/>
          <w:sz w:val="22"/>
        </w:rPr>
        <w:t>W_fan = (ṁ_da × ΔP_total) / (ρ_air × η_fan)</w:t>
      </w:r>
      <w:r>
        <w:rPr>
          <w:rFonts w:ascii="Times New Roman" w:hAnsi="Times New Roman"/>
          <w:sz w:val="20"/>
        </w:rPr>
        <w:t xml:space="preserve">    (3.41)</w:t>
      </w:r>
    </w:p>
    <w:p>
      <w:pPr>
        <w:spacing w:after="120"/>
      </w:pPr>
      <w:r>
        <w:rPr>
          <w:rFonts w:ascii="Times New Roman" w:hAnsi="Times New Roman"/>
          <w:b w:val="0"/>
          <w:i w:val="0"/>
          <w:sz w:val="22"/>
        </w:rPr>
        <w:t>where η_fan = 0.60 is the overall fan efficiency (motor + impeller). The fan power is typically 2–4% of the total electrical consumption.</w:t>
      </w:r>
    </w:p>
    <w:p>
      <w:pPr>
        <w:pStyle w:val="Heading1"/>
      </w:pPr>
      <w:r>
        <w:rPr>
          <w:color w:val="000000"/>
        </w:rPr>
        <w:t>3.7 Weather Data and Study Locations</w:t>
      </w:r>
    </w:p>
    <w:p>
      <w:pPr>
        <w:spacing w:after="120"/>
      </w:pPr>
      <w:r>
        <w:rPr>
          <w:rFonts w:ascii="Times New Roman" w:hAnsi="Times New Roman"/>
          <w:b w:val="0"/>
          <w:i w:val="0"/>
          <w:sz w:val="22"/>
        </w:rPr>
        <w:t>Hourly weather data for each location is obtained from the PVGIS Typical Meteorological Year (TMY) database (European Commission Joint Research Centre), which provides representative hourly profiles based on ERA5 reanalysis data. Each TMY file contains 8,760 hourly records of ambient temperature, relative humidity, global horizontal irradiance (GHI), wind speed, and atmospheric pressure.</w:t>
      </w:r>
    </w:p>
    <w:p>
      <w:pPr>
        <w:spacing w:after="80"/>
      </w:pPr>
      <w:r>
        <w:rPr>
          <w:rFonts w:ascii="Times New Roman" w:hAnsi="Times New Roman"/>
          <w:b/>
          <w:sz w:val="20"/>
        </w:rPr>
        <w:t>Table 3.6: Study locations and climatic characteristics</w:t>
      </w:r>
    </w:p>
    <w:tbl>
      <w:tblPr>
        <w:tblStyle w:val="LightShading-Accent1"/>
        <w:tblW w:type="auto" w:w="0"/>
        <w:jc w:val="center"/>
        <w:tblLook w:firstColumn="1" w:firstRow="1" w:lastColumn="0" w:lastRow="0" w:noHBand="0" w:noVBand="1" w:val="04A0"/>
      </w:tblPr>
      <w:tblGrid>
        <w:gridCol w:w="1516"/>
        <w:gridCol w:w="1516"/>
        <w:gridCol w:w="1516"/>
        <w:gridCol w:w="1516"/>
        <w:gridCol w:w="1516"/>
        <w:gridCol w:w="1516"/>
      </w:tblGrid>
      <w:tr>
        <w:tc>
          <w:tcPr>
            <w:tcW w:type="dxa" w:w="1516"/>
          </w:tcPr>
          <w:p>
            <w:pPr>
              <w:jc w:val="center"/>
            </w:pPr>
            <w:r>
              <w:rPr>
                <w:rFonts w:ascii="Times New Roman" w:hAnsi="Times New Roman"/>
                <w:b/>
                <w:sz w:val="18"/>
              </w:rPr>
              <w:t>Location</w:t>
            </w:r>
          </w:p>
        </w:tc>
        <w:tc>
          <w:tcPr>
            <w:tcW w:type="dxa" w:w="1516"/>
          </w:tcPr>
          <w:p>
            <w:pPr>
              <w:jc w:val="center"/>
            </w:pPr>
            <w:r>
              <w:rPr>
                <w:rFonts w:ascii="Times New Roman" w:hAnsi="Times New Roman"/>
                <w:b/>
                <w:sz w:val="18"/>
              </w:rPr>
              <w:t>Elevation (m)</w:t>
            </w:r>
          </w:p>
        </w:tc>
        <w:tc>
          <w:tcPr>
            <w:tcW w:type="dxa" w:w="1516"/>
          </w:tcPr>
          <w:p>
            <w:pPr>
              <w:jc w:val="center"/>
            </w:pPr>
            <w:r>
              <w:rPr>
                <w:rFonts w:ascii="Times New Roman" w:hAnsi="Times New Roman"/>
                <w:b/>
                <w:sz w:val="18"/>
              </w:rPr>
              <w:t>P_atm (Pa)</w:t>
            </w:r>
          </w:p>
        </w:tc>
        <w:tc>
          <w:tcPr>
            <w:tcW w:type="dxa" w:w="1516"/>
          </w:tcPr>
          <w:p>
            <w:pPr>
              <w:jc w:val="center"/>
            </w:pPr>
            <w:r>
              <w:rPr>
                <w:rFonts w:ascii="Times New Roman" w:hAnsi="Times New Roman"/>
                <w:b/>
                <w:sz w:val="18"/>
              </w:rPr>
              <w:t>Climate Zone</w:t>
            </w:r>
          </w:p>
        </w:tc>
        <w:tc>
          <w:tcPr>
            <w:tcW w:type="dxa" w:w="1516"/>
          </w:tcPr>
          <w:p>
            <w:pPr>
              <w:jc w:val="center"/>
            </w:pPr>
            <w:r>
              <w:rPr>
                <w:rFonts w:ascii="Times New Roman" w:hAnsi="Times New Roman"/>
                <w:b/>
                <w:sz w:val="18"/>
              </w:rPr>
              <w:t>Mean T (°C)</w:t>
            </w:r>
          </w:p>
        </w:tc>
        <w:tc>
          <w:tcPr>
            <w:tcW w:type="dxa" w:w="1516"/>
          </w:tcPr>
          <w:p>
            <w:pPr>
              <w:jc w:val="center"/>
            </w:pPr>
            <w:r>
              <w:rPr>
                <w:rFonts w:ascii="Times New Roman" w:hAnsi="Times New Roman"/>
                <w:b/>
                <w:sz w:val="18"/>
              </w:rPr>
              <w:t>Mean RH (%)</w:t>
            </w:r>
          </w:p>
        </w:tc>
      </w:tr>
      <w:tr>
        <w:tc>
          <w:tcPr>
            <w:tcW w:type="dxa" w:w="1516"/>
          </w:tcPr>
          <w:p>
            <w:pPr>
              <w:jc w:val="center"/>
            </w:pPr>
            <w:r>
              <w:rPr>
                <w:rFonts w:ascii="Times New Roman" w:hAnsi="Times New Roman"/>
                <w:sz w:val="18"/>
              </w:rPr>
              <w:t>Kathmandu</w:t>
            </w:r>
          </w:p>
        </w:tc>
        <w:tc>
          <w:tcPr>
            <w:tcW w:type="dxa" w:w="1516"/>
          </w:tcPr>
          <w:p>
            <w:pPr>
              <w:jc w:val="center"/>
            </w:pPr>
            <w:r>
              <w:rPr>
                <w:rFonts w:ascii="Times New Roman" w:hAnsi="Times New Roman"/>
                <w:sz w:val="18"/>
              </w:rPr>
              <w:t>1,350</w:t>
            </w:r>
          </w:p>
        </w:tc>
        <w:tc>
          <w:tcPr>
            <w:tcW w:type="dxa" w:w="1516"/>
          </w:tcPr>
          <w:p>
            <w:pPr>
              <w:jc w:val="center"/>
            </w:pPr>
            <w:r>
              <w:rPr>
                <w:rFonts w:ascii="Times New Roman" w:hAnsi="Times New Roman"/>
                <w:sz w:val="18"/>
              </w:rPr>
              <w:t>86,120</w:t>
            </w:r>
          </w:p>
        </w:tc>
        <w:tc>
          <w:tcPr>
            <w:tcW w:type="dxa" w:w="1516"/>
          </w:tcPr>
          <w:p>
            <w:pPr>
              <w:jc w:val="center"/>
            </w:pPr>
            <w:r>
              <w:rPr>
                <w:rFonts w:ascii="Times New Roman" w:hAnsi="Times New Roman"/>
                <w:sz w:val="18"/>
              </w:rPr>
              <w:t>Subtropical highland</w:t>
            </w:r>
          </w:p>
        </w:tc>
        <w:tc>
          <w:tcPr>
            <w:tcW w:type="dxa" w:w="1516"/>
          </w:tcPr>
          <w:p>
            <w:pPr>
              <w:jc w:val="center"/>
            </w:pPr>
            <w:r>
              <w:rPr>
                <w:rFonts w:ascii="Times New Roman" w:hAnsi="Times New Roman"/>
                <w:sz w:val="18"/>
              </w:rPr>
              <w:t>18.4</w:t>
            </w:r>
          </w:p>
        </w:tc>
        <w:tc>
          <w:tcPr>
            <w:tcW w:type="dxa" w:w="1516"/>
          </w:tcPr>
          <w:p>
            <w:pPr>
              <w:jc w:val="center"/>
            </w:pPr>
            <w:r>
              <w:rPr>
                <w:rFonts w:ascii="Times New Roman" w:hAnsi="Times New Roman"/>
                <w:sz w:val="18"/>
              </w:rPr>
              <w:t>65</w:t>
            </w:r>
          </w:p>
        </w:tc>
      </w:tr>
      <w:tr>
        <w:tc>
          <w:tcPr>
            <w:tcW w:type="dxa" w:w="1516"/>
          </w:tcPr>
          <w:p>
            <w:pPr>
              <w:jc w:val="center"/>
            </w:pPr>
            <w:r>
              <w:rPr>
                <w:rFonts w:ascii="Times New Roman" w:hAnsi="Times New Roman"/>
                <w:sz w:val="18"/>
              </w:rPr>
              <w:t>Biratnagar</w:t>
            </w:r>
          </w:p>
        </w:tc>
        <w:tc>
          <w:tcPr>
            <w:tcW w:type="dxa" w:w="1516"/>
          </w:tcPr>
          <w:p>
            <w:pPr>
              <w:jc w:val="center"/>
            </w:pPr>
            <w:r>
              <w:rPr>
                <w:rFonts w:ascii="Times New Roman" w:hAnsi="Times New Roman"/>
                <w:sz w:val="18"/>
              </w:rPr>
              <w:t>72</w:t>
            </w:r>
          </w:p>
        </w:tc>
        <w:tc>
          <w:tcPr>
            <w:tcW w:type="dxa" w:w="1516"/>
          </w:tcPr>
          <w:p>
            <w:pPr>
              <w:jc w:val="center"/>
            </w:pPr>
            <w:r>
              <w:rPr>
                <w:rFonts w:ascii="Times New Roman" w:hAnsi="Times New Roman"/>
                <w:sz w:val="18"/>
              </w:rPr>
              <w:t>100,460</w:t>
            </w:r>
          </w:p>
        </w:tc>
        <w:tc>
          <w:tcPr>
            <w:tcW w:type="dxa" w:w="1516"/>
          </w:tcPr>
          <w:p>
            <w:pPr>
              <w:jc w:val="center"/>
            </w:pPr>
            <w:r>
              <w:rPr>
                <w:rFonts w:ascii="Times New Roman" w:hAnsi="Times New Roman"/>
                <w:sz w:val="18"/>
              </w:rPr>
              <w:t>Subtropical lowland</w:t>
            </w:r>
          </w:p>
        </w:tc>
        <w:tc>
          <w:tcPr>
            <w:tcW w:type="dxa" w:w="1516"/>
          </w:tcPr>
          <w:p>
            <w:pPr>
              <w:jc w:val="center"/>
            </w:pPr>
            <w:r>
              <w:rPr>
                <w:rFonts w:ascii="Times New Roman" w:hAnsi="Times New Roman"/>
                <w:sz w:val="18"/>
              </w:rPr>
              <w:t>24.5</w:t>
            </w:r>
          </w:p>
        </w:tc>
        <w:tc>
          <w:tcPr>
            <w:tcW w:type="dxa" w:w="1516"/>
          </w:tcPr>
          <w:p>
            <w:pPr>
              <w:jc w:val="center"/>
            </w:pPr>
            <w:r>
              <w:rPr>
                <w:rFonts w:ascii="Times New Roman" w:hAnsi="Times New Roman"/>
                <w:sz w:val="18"/>
              </w:rPr>
              <w:t>78</w:t>
            </w:r>
          </w:p>
        </w:tc>
      </w:tr>
      <w:tr>
        <w:tc>
          <w:tcPr>
            <w:tcW w:type="dxa" w:w="1516"/>
          </w:tcPr>
          <w:p>
            <w:pPr>
              <w:jc w:val="center"/>
            </w:pPr>
            <w:r>
              <w:rPr>
                <w:rFonts w:ascii="Times New Roman" w:hAnsi="Times New Roman"/>
                <w:sz w:val="18"/>
              </w:rPr>
              <w:t>Taplejung</w:t>
            </w:r>
          </w:p>
        </w:tc>
        <w:tc>
          <w:tcPr>
            <w:tcW w:type="dxa" w:w="1516"/>
          </w:tcPr>
          <w:p>
            <w:pPr>
              <w:jc w:val="center"/>
            </w:pPr>
            <w:r>
              <w:rPr>
                <w:rFonts w:ascii="Times New Roman" w:hAnsi="Times New Roman"/>
                <w:sz w:val="18"/>
              </w:rPr>
              <w:t>1,820</w:t>
            </w:r>
          </w:p>
        </w:tc>
        <w:tc>
          <w:tcPr>
            <w:tcW w:type="dxa" w:w="1516"/>
          </w:tcPr>
          <w:p>
            <w:pPr>
              <w:jc w:val="center"/>
            </w:pPr>
            <w:r>
              <w:rPr>
                <w:rFonts w:ascii="Times New Roman" w:hAnsi="Times New Roman"/>
                <w:sz w:val="18"/>
              </w:rPr>
              <w:t>81,600</w:t>
            </w:r>
          </w:p>
        </w:tc>
        <w:tc>
          <w:tcPr>
            <w:tcW w:type="dxa" w:w="1516"/>
          </w:tcPr>
          <w:p>
            <w:pPr>
              <w:jc w:val="center"/>
            </w:pPr>
            <w:r>
              <w:rPr>
                <w:rFonts w:ascii="Times New Roman" w:hAnsi="Times New Roman"/>
                <w:sz w:val="18"/>
              </w:rPr>
              <w:t>Temperate highland</w:t>
            </w:r>
          </w:p>
        </w:tc>
        <w:tc>
          <w:tcPr>
            <w:tcW w:type="dxa" w:w="1516"/>
          </w:tcPr>
          <w:p>
            <w:pPr>
              <w:jc w:val="center"/>
            </w:pPr>
            <w:r>
              <w:rPr>
                <w:rFonts w:ascii="Times New Roman" w:hAnsi="Times New Roman"/>
                <w:sz w:val="18"/>
              </w:rPr>
              <w:t>14.5</w:t>
            </w:r>
          </w:p>
        </w:tc>
        <w:tc>
          <w:tcPr>
            <w:tcW w:type="dxa" w:w="1516"/>
          </w:tcPr>
          <w:p>
            <w:pPr>
              <w:jc w:val="center"/>
            </w:pPr>
            <w:r>
              <w:rPr>
                <w:rFonts w:ascii="Times New Roman" w:hAnsi="Times New Roman"/>
                <w:sz w:val="18"/>
              </w:rPr>
              <w:t>72</w:t>
            </w:r>
          </w:p>
        </w:tc>
      </w:tr>
    </w:tbl>
    <w:p/>
    <w:p>
      <w:pPr>
        <w:pStyle w:val="Heading2"/>
      </w:pPr>
      <w:r>
        <w:rPr>
          <w:color w:val="000000"/>
        </w:rPr>
        <w:t>3.7.1 Seasonal Analysis</w:t>
      </w:r>
    </w:p>
    <w:p>
      <w:pPr>
        <w:spacing w:after="120"/>
      </w:pPr>
      <w:r>
        <w:rPr>
          <w:rFonts w:ascii="Times New Roman" w:hAnsi="Times New Roman"/>
          <w:b w:val="0"/>
          <w:i w:val="0"/>
          <w:sz w:val="22"/>
        </w:rPr>
        <w:t>To assess system performance under varying climatic conditions, simulations are conducted for three representative seasons aligned with the Nepalese agricultural calendar:</w:t>
      </w:r>
    </w:p>
    <w:p>
      <w:pPr>
        <w:pStyle w:val="ListBullet"/>
      </w:pPr>
      <w:r>
        <w:rPr>
          <w:rFonts w:ascii="Times New Roman" w:hAnsi="Times New Roman"/>
          <w:b/>
          <w:sz w:val="22"/>
        </w:rPr>
        <w:t>Sharad/Autumn</w:t>
      </w:r>
      <w:r>
        <w:rPr>
          <w:rFonts w:ascii="Times New Roman" w:hAnsi="Times New Roman"/>
          <w:sz w:val="22"/>
        </w:rPr>
        <w:t xml:space="preserve"> (October–November): Post-monsoon apple harvest and primary drying window. Moderate temperatures, declining humidity.</w:t>
      </w:r>
    </w:p>
    <w:p>
      <w:pPr>
        <w:pStyle w:val="ListBullet"/>
      </w:pPr>
      <w:r>
        <w:rPr>
          <w:rFonts w:ascii="Times New Roman" w:hAnsi="Times New Roman"/>
          <w:b/>
          <w:sz w:val="22"/>
        </w:rPr>
        <w:t>Hemanta/Winter</w:t>
      </w:r>
      <w:r>
        <w:rPr>
          <w:rFonts w:ascii="Times New Roman" w:hAnsi="Times New Roman"/>
          <w:sz w:val="22"/>
        </w:rPr>
        <w:t xml:space="preserve"> (December–January): Cold, dry conditions with low solar irradiance. Stress test for heat pump performance.</w:t>
      </w:r>
    </w:p>
    <w:p>
      <w:pPr>
        <w:pStyle w:val="ListBullet"/>
      </w:pPr>
      <w:r>
        <w:rPr>
          <w:rFonts w:ascii="Times New Roman" w:hAnsi="Times New Roman"/>
          <w:b/>
          <w:sz w:val="22"/>
        </w:rPr>
        <w:t>Basanta/Spring</w:t>
      </w:r>
      <w:r>
        <w:rPr>
          <w:rFonts w:ascii="Times New Roman" w:hAnsi="Times New Roman"/>
          <w:sz w:val="22"/>
        </w:rPr>
        <w:t xml:space="preserve"> (March–April): Warm, dry, high solar irradiance. Best-case scenario for solar-assisted configurations.</w:t>
      </w:r>
    </w:p>
    <w:p>
      <w:pPr>
        <w:spacing w:after="120"/>
      </w:pPr>
      <w:r>
        <w:rPr>
          <w:rFonts w:ascii="Times New Roman" w:hAnsi="Times New Roman"/>
          <w:b w:val="0"/>
          <w:i w:val="0"/>
          <w:sz w:val="22"/>
        </w:rPr>
        <w:t>Seasonal weather files are extracted from the annual TMY data and re-indexed from hour 0 for simulation compatibility.</w:t>
      </w:r>
    </w:p>
    <w:p>
      <w:pPr>
        <w:pStyle w:val="Heading1"/>
      </w:pPr>
      <w:r>
        <w:rPr>
          <w:color w:val="000000"/>
        </w:rPr>
        <w:t>3.8 Performance Metrics</w:t>
      </w:r>
    </w:p>
    <w:p>
      <w:pPr>
        <w:spacing w:after="120"/>
      </w:pPr>
      <w:r>
        <w:rPr>
          <w:rFonts w:ascii="Times New Roman" w:hAnsi="Times New Roman"/>
          <w:b w:val="0"/>
          <w:i w:val="0"/>
          <w:sz w:val="22"/>
        </w:rPr>
        <w:t>The following metrics are used to compare configurations:</w:t>
      </w:r>
    </w:p>
    <w:p>
      <w:pPr>
        <w:spacing w:after="120"/>
      </w:pPr>
      <w:r>
        <w:rPr>
          <w:rFonts w:ascii="Times New Roman" w:hAnsi="Times New Roman"/>
          <w:b/>
          <w:i w:val="0"/>
          <w:sz w:val="22"/>
        </w:rPr>
        <w:t>Specific energy consumption (electrical):</w:t>
      </w:r>
    </w:p>
    <w:p>
      <w:pPr>
        <w:spacing w:before="60" w:after="60"/>
        <w:jc w:val="center"/>
      </w:pPr>
      <w:r>
        <w:rPr>
          <w:rFonts w:ascii="Cambria Math" w:hAnsi="Cambria Math"/>
          <w:sz w:val="22"/>
        </w:rPr>
        <w:t>SEC = (W_comp + W_fan) / m_w,removed  [kWh/kg]</w:t>
      </w:r>
      <w:r>
        <w:rPr>
          <w:rFonts w:ascii="Times New Roman" w:hAnsi="Times New Roman"/>
          <w:sz w:val="20"/>
        </w:rPr>
        <w:t xml:space="preserve">    (3.42)</w:t>
      </w:r>
    </w:p>
    <w:p>
      <w:pPr>
        <w:spacing w:after="120"/>
      </w:pPr>
      <w:r>
        <w:rPr>
          <w:rFonts w:ascii="Times New Roman" w:hAnsi="Times New Roman"/>
          <w:b/>
          <w:i w:val="0"/>
          <w:sz w:val="22"/>
        </w:rPr>
        <w:t>Coefficient of performance:</w:t>
      </w:r>
    </w:p>
    <w:p>
      <w:pPr>
        <w:spacing w:before="60" w:after="60"/>
        <w:jc w:val="center"/>
      </w:pPr>
      <w:r>
        <w:rPr>
          <w:rFonts w:ascii="Cambria Math" w:hAnsi="Cambria Math"/>
          <w:sz w:val="22"/>
        </w:rPr>
        <w:t>COP = Q_cond / W_comp</w:t>
      </w:r>
      <w:r>
        <w:rPr>
          <w:rFonts w:ascii="Times New Roman" w:hAnsi="Times New Roman"/>
          <w:sz w:val="20"/>
        </w:rPr>
        <w:t xml:space="preserve">    (3.43)</w:t>
      </w:r>
    </w:p>
    <w:p>
      <w:pPr>
        <w:spacing w:after="120"/>
      </w:pPr>
      <w:r>
        <w:rPr>
          <w:rFonts w:ascii="Times New Roman" w:hAnsi="Times New Roman"/>
          <w:b/>
          <w:i w:val="0"/>
          <w:sz w:val="22"/>
        </w:rPr>
        <w:t>Solar fraction:</w:t>
      </w:r>
    </w:p>
    <w:p>
      <w:pPr>
        <w:spacing w:before="60" w:after="60"/>
        <w:jc w:val="center"/>
      </w:pPr>
      <w:r>
        <w:rPr>
          <w:rFonts w:ascii="Cambria Math" w:hAnsi="Cambria Math"/>
          <w:sz w:val="22"/>
        </w:rPr>
        <w:t>SF = Q_solar / (Q_solar + Q_cond)  [−]</w:t>
      </w:r>
      <w:r>
        <w:rPr>
          <w:rFonts w:ascii="Times New Roman" w:hAnsi="Times New Roman"/>
          <w:sz w:val="20"/>
        </w:rPr>
        <w:t xml:space="preserve">    (3.44)</w:t>
      </w:r>
    </w:p>
    <w:p>
      <w:pPr>
        <w:spacing w:after="120"/>
      </w:pPr>
      <w:r>
        <w:rPr>
          <w:rFonts w:ascii="Times New Roman" w:hAnsi="Times New Roman"/>
          <w:b/>
          <w:i w:val="0"/>
          <w:sz w:val="22"/>
        </w:rPr>
        <w:t>Energy savings relative to baseline:</w:t>
      </w:r>
    </w:p>
    <w:p>
      <w:pPr>
        <w:spacing w:before="60" w:after="60"/>
        <w:jc w:val="center"/>
      </w:pPr>
      <w:r>
        <w:rPr>
          <w:rFonts w:ascii="Cambria Math" w:hAnsi="Cambria Math"/>
          <w:sz w:val="22"/>
        </w:rPr>
        <w:t>ES = (SEC_A − SEC_x) / SEC_A × 100  [%]</w:t>
      </w:r>
      <w:r>
        <w:rPr>
          <w:rFonts w:ascii="Times New Roman" w:hAnsi="Times New Roman"/>
          <w:sz w:val="20"/>
        </w:rPr>
        <w:t xml:space="preserve">    (3.45)</w:t>
      </w:r>
    </w:p>
    <w:p>
      <w:pPr>
        <w:spacing w:after="120"/>
      </w:pPr>
      <w:r>
        <w:rPr>
          <w:rFonts w:ascii="Times New Roman" w:hAnsi="Times New Roman"/>
          <w:b/>
          <w:i w:val="0"/>
          <w:sz w:val="22"/>
        </w:rPr>
        <w:t>Second-law (Carnot) efficiency:</w:t>
      </w:r>
    </w:p>
    <w:p>
      <w:pPr>
        <w:spacing w:before="60" w:after="60"/>
        <w:jc w:val="center"/>
      </w:pPr>
      <w:r>
        <w:rPr>
          <w:rFonts w:ascii="Cambria Math" w:hAnsi="Cambria Math"/>
          <w:sz w:val="22"/>
        </w:rPr>
        <w:t>η_II = COP / COP_Carnot</w:t>
      </w:r>
      <w:r>
        <w:rPr>
          <w:rFonts w:ascii="Times New Roman" w:hAnsi="Times New Roman"/>
          <w:sz w:val="20"/>
        </w:rPr>
        <w:t xml:space="preserve">    (3.46)</w:t>
      </w:r>
    </w:p>
    <w:p>
      <w:pPr>
        <w:spacing w:before="60" w:after="60"/>
        <w:jc w:val="center"/>
      </w:pPr>
      <w:r>
        <w:rPr>
          <w:rFonts w:ascii="Cambria Math" w:hAnsi="Cambria Math"/>
          <w:sz w:val="22"/>
        </w:rPr>
        <w:t>COP_Carnot = T_cond,K / (T_cond,K − T_evap,K)</w:t>
      </w:r>
      <w:r>
        <w:rPr>
          <w:rFonts w:ascii="Times New Roman" w:hAnsi="Times New Roman"/>
          <w:sz w:val="20"/>
        </w:rPr>
        <w:t xml:space="preserve">    (3.47)</w:t>
      </w:r>
    </w:p>
    <w:p>
      <w:pPr>
        <w:pStyle w:val="Heading1"/>
      </w:pPr>
      <w:r>
        <w:rPr>
          <w:color w:val="000000"/>
        </w:rPr>
        <w:t>3.9 Model Validation</w:t>
      </w:r>
    </w:p>
    <w:p>
      <w:pPr>
        <w:spacing w:after="120"/>
      </w:pPr>
      <w:r>
        <w:rPr>
          <w:rFonts w:ascii="Times New Roman" w:hAnsi="Times New Roman"/>
          <w:b w:val="0"/>
          <w:i w:val="0"/>
          <w:sz w:val="22"/>
        </w:rPr>
        <w:t>The simulation model is validated through four independent consistency checks applied to all configurations and locations:</w:t>
      </w:r>
    </w:p>
    <w:p>
      <w:pPr>
        <w:pStyle w:val="ListBullet"/>
      </w:pPr>
      <w:r>
        <w:rPr>
          <w:rFonts w:ascii="Times New Roman" w:hAnsi="Times New Roman"/>
          <w:b/>
          <w:sz w:val="22"/>
        </w:rPr>
        <w:t xml:space="preserve">First law: </w:t>
      </w:r>
      <w:r>
        <w:rPr>
          <w:rFonts w:ascii="Times New Roman" w:hAnsi="Times New Roman"/>
          <w:sz w:val="22"/>
        </w:rPr>
        <w:t xml:space="preserve"> The first law of thermodynamics is verified at every timestep: Q_cond = Q_evap + W_comp × η_mech. The maximum observed error across all configurations is less than 10⁻⁶.</w:t>
      </w:r>
    </w:p>
    <w:p>
      <w:pPr>
        <w:pStyle w:val="ListBullet"/>
      </w:pPr>
      <w:r>
        <w:rPr>
          <w:rFonts w:ascii="Times New Roman" w:hAnsi="Times New Roman"/>
          <w:b/>
          <w:sz w:val="22"/>
        </w:rPr>
        <w:t xml:space="preserve">Water mass balance: </w:t>
      </w:r>
      <w:r>
        <w:rPr>
          <w:rFonts w:ascii="Times New Roman" w:hAnsi="Times New Roman"/>
          <w:sz w:val="22"/>
        </w:rPr>
        <w:t xml:space="preserve"> The cumulative water removed from all trays equals the sum of individual tray moisture decrements, with zero discrepancy.</w:t>
      </w:r>
    </w:p>
    <w:p>
      <w:pPr>
        <w:pStyle w:val="ListBullet"/>
      </w:pPr>
      <w:r>
        <w:rPr>
          <w:rFonts w:ascii="Times New Roman" w:hAnsi="Times New Roman"/>
          <w:b/>
          <w:sz w:val="22"/>
        </w:rPr>
        <w:t xml:space="preserve">Psychrometric consistency: </w:t>
      </w:r>
      <w:r>
        <w:rPr>
          <w:rFonts w:ascii="Times New Roman" w:hAnsi="Times New Roman"/>
          <w:sz w:val="22"/>
        </w:rPr>
        <w:t xml:space="preserve"> Temperature, humidity ratio, and relative humidity are verified for mutual consistency at every air state point (error &lt; 4 × 10⁻⁶).</w:t>
      </w:r>
    </w:p>
    <w:p>
      <w:pPr>
        <w:pStyle w:val="ListBullet"/>
      </w:pPr>
      <w:r>
        <w:rPr>
          <w:rFonts w:ascii="Times New Roman" w:hAnsi="Times New Roman"/>
          <w:b/>
          <w:sz w:val="22"/>
        </w:rPr>
        <w:t xml:space="preserve">COP validation: </w:t>
      </w:r>
      <w:r>
        <w:rPr>
          <w:rFonts w:ascii="Times New Roman" w:hAnsi="Times New Roman"/>
          <w:sz w:val="22"/>
        </w:rPr>
        <w:t xml:space="preserve"> COP values range from 3.5 to 4.8, with Carnot efficiency η_II = 0.61–0.62, consistent with published values for R134a heat pump dryers (Chua et al., 2002).</w:t>
      </w:r>
    </w:p>
    <w:p>
      <w:pPr>
        <w:pStyle w:val="Heading1"/>
      </w:pPr>
      <w:r>
        <w:rPr>
          <w:color w:val="000000"/>
        </w:rPr>
        <w:t>3.10 Simulation Procedure</w:t>
      </w:r>
    </w:p>
    <w:p>
      <w:pPr>
        <w:spacing w:after="120"/>
      </w:pPr>
      <w:r>
        <w:rPr>
          <w:rFonts w:ascii="Times New Roman" w:hAnsi="Times New Roman"/>
          <w:b w:val="0"/>
          <w:i w:val="0"/>
          <w:sz w:val="22"/>
        </w:rPr>
        <w:t>The simulation follows a quasi-steady-state approach where each 60-second timestep is solved as a sequence of steady-state component calculations. The procedure for each timestep is:</w:t>
      </w:r>
    </w:p>
    <w:p>
      <w:pPr>
        <w:spacing w:after="120"/>
      </w:pPr>
      <w:r>
        <w:rPr>
          <w:rFonts w:ascii="Times New Roman" w:hAnsi="Times New Roman"/>
          <w:b w:val="0"/>
          <w:i w:val="0"/>
          <w:sz w:val="22"/>
        </w:rPr>
        <w:t>1. Read ambient weather conditions (T_amb, RH_amb, GHI) from the TMY file.</w:t>
      </w:r>
    </w:p>
    <w:p>
      <w:pPr>
        <w:spacing w:after="120"/>
      </w:pPr>
      <w:r>
        <w:rPr>
          <w:rFonts w:ascii="Times New Roman" w:hAnsi="Times New Roman"/>
          <w:b w:val="0"/>
          <w:i w:val="0"/>
          <w:sz w:val="22"/>
        </w:rPr>
        <w:t>2. Compute inlet air conditions through the thermal conditioning chain (HRX, solar collector, HP components) according to the configuration.</w:t>
      </w:r>
    </w:p>
    <w:p>
      <w:pPr>
        <w:spacing w:after="120"/>
      </w:pPr>
      <w:r>
        <w:rPr>
          <w:rFonts w:ascii="Times New Roman" w:hAnsi="Times New Roman"/>
          <w:b w:val="0"/>
          <w:i w:val="0"/>
          <w:sz w:val="22"/>
        </w:rPr>
        <w:t>3. Pass conditioned air through the 10-tray cascade, updating moisture content and air state at each tray.</w:t>
      </w:r>
    </w:p>
    <w:p>
      <w:pPr>
        <w:spacing w:after="120"/>
      </w:pPr>
      <w:r>
        <w:rPr>
          <w:rFonts w:ascii="Times New Roman" w:hAnsi="Times New Roman"/>
          <w:b w:val="0"/>
          <w:i w:val="0"/>
          <w:sz w:val="22"/>
        </w:rPr>
        <w:t>4. Compute energy flows (Q_cond, Q_evap, W_comp, Q_solar, W_fan) and cumulative totals.</w:t>
      </w:r>
    </w:p>
    <w:p>
      <w:pPr>
        <w:spacing w:after="120"/>
      </w:pPr>
      <w:r>
        <w:rPr>
          <w:rFonts w:ascii="Times New Roman" w:hAnsi="Times New Roman"/>
          <w:b w:val="0"/>
          <w:i w:val="0"/>
          <w:sz w:val="22"/>
        </w:rPr>
        <w:t>5. Check termination criterion (all trays at X ≤ 0.10).</w:t>
      </w:r>
    </w:p>
    <w:p>
      <w:pPr>
        <w:spacing w:after="120"/>
      </w:pPr>
      <w:r>
        <w:rPr>
          <w:rFonts w:ascii="Times New Roman" w:hAnsi="Times New Roman"/>
          <w:b w:val="0"/>
          <w:i w:val="0"/>
          <w:sz w:val="22"/>
        </w:rPr>
        <w:t>6. Advance to next timestep or terminate.</w:t>
      </w:r>
    </w:p>
    <w:p>
      <w:pPr>
        <w:spacing w:after="120"/>
      </w:pPr>
      <w:r>
        <w:rPr>
          <w:rFonts w:ascii="Times New Roman" w:hAnsi="Times New Roman"/>
          <w:b w:val="0"/>
          <w:i w:val="0"/>
          <w:sz w:val="22"/>
        </w:rPr>
        <w:t>The simulation is implemented in Python 3.11 using NumPy for numerical operations, CoolProp for refrigerant thermodynamic properties, and Pandas for data management. Hourly weather data is interpolated linearly between timesteps. All simulations are deterministic and reproducible.</w:t>
      </w:r>
    </w:p>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