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SAHPD Component Sizing</w:t>
      </w:r>
    </w:p>
    <w:p>
      <w:r>
        <w:t>Reference: Config A (HP-only), Kathmandu, r = 0 — the coldest ambient of the three simulated sites, which drives peak HP duty. Every other configuration (B, C, D, E) has lower electrical demand, so this sizing is the worst-case envelope for purchasing decisions. HRX duty is taken from Config D1 (Kathmandu, eps_HRX = 0.70).</w:t>
      </w:r>
    </w:p>
    <w:p>
      <w:r>
        <w:t>Data source: outputs/config_A/kathmandu/baseline_r0.0.csv and outputs/config_D1/kathmandu/hrx_eps0.70.csv (post 2026-04-08 iterative-evap bugfix, regenerated 2026-04-21).</w:t>
      </w:r>
    </w:p>
    <w:p>
      <w:pPr>
        <w:pStyle w:val="Heading2"/>
      </w:pPr>
      <w:r>
        <w:t>1. Component sizing table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1994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1994"/>
          </w:tcPr>
          <w:p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1994"/>
          </w:tcPr>
          <w:p>
            <w:r>
              <w:rPr>
                <w:b/>
                <w:sz w:val="20"/>
              </w:rPr>
              <w:t>Value from simulation</w:t>
            </w:r>
          </w:p>
        </w:tc>
        <w:tc>
          <w:tcPr>
            <w:tcW w:type="dxa" w:w="1994"/>
          </w:tcPr>
          <w:p>
            <w:r>
              <w:rPr>
                <w:b/>
                <w:sz w:val="20"/>
              </w:rPr>
              <w:t>Design pick (with margin)</w:t>
            </w:r>
          </w:p>
        </w:tc>
      </w:tr>
      <w:tr>
        <w:tc>
          <w:tcPr>
            <w:tcW w:type="dxa" w:w="1994"/>
            <w:vAlign w:val="center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  <w:t>Heat pump / reversible split AC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  <w:t>Peak Q_cond (heating duty)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  <w:t>3.72 kW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  <w:t>≥ 4.5 kW heating capacity (≈ 1.5 ton / 18,000 BTU/h)</w:t>
            </w:r>
          </w:p>
        </w:tc>
      </w:tr>
      <w:tr>
        <w:tc>
          <w:tcPr>
            <w:tcW w:type="dxa" w:w="199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  <w:t>Mean Q_cond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  <w:t>3.53 kW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9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  <w:t>Peak W_comp (electric)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  <w:t>1.07 kW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  <w:t>230 V, 10 A single-phase circuit</w:t>
            </w:r>
          </w:p>
        </w:tc>
      </w:tr>
      <w:tr>
        <w:tc>
          <w:tcPr>
            <w:tcW w:type="dxa" w:w="199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  <w:t>Mean W_comp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  <w:t>0.975 kW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9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  <w:t>Peak Q_evap (cooling)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  <w:t>2.71 kW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  <w:t>≈ 1 ton cooling equivalent</w:t>
            </w:r>
          </w:p>
        </w:tc>
      </w:tr>
      <w:tr>
        <w:tc>
          <w:tcPr>
            <w:tcW w:type="dxa" w:w="199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  <w:t>Refrigerant T_cond (fixed)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  <w:t>55 °C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  <w:t>Within standard split AC envelope</w:t>
            </w:r>
          </w:p>
        </w:tc>
      </w:tr>
      <w:tr>
        <w:tc>
          <w:tcPr>
            <w:tcW w:type="dxa" w:w="199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  <w:t>Refrigerant T_evap target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  <w:t>5 °C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9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  <w:t>Mean COP (simulation)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  <w:t>~3.6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  <w:t>Inverter, 5-star preferred</w:t>
            </w:r>
          </w:p>
        </w:tc>
      </w:tr>
      <w:tr>
        <w:tc>
          <w:tcPr>
            <w:tcW w:type="dxa" w:w="1994"/>
            <w:vAlign w:val="center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  <w:t>Supply air temperature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  <w:t>T_to_chamber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  <w:t>45 °C (constant)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  <w:t>Set-point at controller</w:t>
            </w:r>
          </w:p>
        </w:tc>
      </w:tr>
      <w:tr>
        <w:tc>
          <w:tcPr>
            <w:tcW w:type="dxa" w:w="1994"/>
            <w:vAlign w:val="center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  <w:t>Airflow (blower / inline fan)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  <w:t>Mass flow m_da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  <w:t>0.098 kg/s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9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  <w:t>Volumetric flow (ρ = 0.943)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  <w:t>~374 m³/h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  <w:t>≥ 450 m³/h axial or centrifugal inline fan</w:t>
            </w:r>
          </w:p>
        </w:tc>
      </w:tr>
      <w:tr>
        <w:tc>
          <w:tcPr>
            <w:tcW w:type="dxa" w:w="199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  <w:t>Total static pressure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  <w:t>210 Pa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  <w:t>Fan curve ≥ 250 Pa at design CFM</w:t>
            </w:r>
          </w:p>
        </w:tc>
      </w:tr>
      <w:tr>
        <w:tc>
          <w:tcPr>
            <w:tcW w:type="dxa" w:w="199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  <w:t>Fan electric power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  <w:t>~25 W continuous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  <w:t>Fan efficiency η ≥ 0.55</w:t>
            </w:r>
          </w:p>
        </w:tc>
      </w:tr>
      <w:tr>
        <w:tc>
          <w:tcPr>
            <w:tcW w:type="dxa" w:w="1994"/>
            <w:vAlign w:val="center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  <w:t>Drying chamber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  <w:t>Inner cross-section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  <w:t>0.79 m × 0.12 m (air gap)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  <w:t>10 trays stacked, 6 cm pitch</w:t>
            </w:r>
          </w:p>
        </w:tc>
      </w:tr>
      <w:tr>
        <w:tc>
          <w:tcPr>
            <w:tcW w:type="dxa" w:w="199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  <w:t>Tray area (each)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  <w:t>0.625 m² (≈ 0.79 × 0.79 m)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  <w:t>Perforated food-grade mesh</w:t>
            </w:r>
          </w:p>
        </w:tc>
      </w:tr>
      <w:tr>
        <w:tc>
          <w:tcPr>
            <w:tcW w:type="dxa" w:w="199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  <w:t>Chamber volume (trays + ducts)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  <w:t>~0.8 m³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  <w:t>Insulate walls (50 mm polyurethane)</w:t>
            </w:r>
          </w:p>
        </w:tc>
      </w:tr>
      <w:tr>
        <w:tc>
          <w:tcPr>
            <w:tcW w:type="dxa" w:w="1994"/>
            <w:vAlign w:val="center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  <w:t>Exhaust duct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  <w:t>Peak T_exhaust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  <w:t>44.7 °C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  <w:t>Ø 150 mm flexible duct, short run</w:t>
            </w:r>
          </w:p>
        </w:tc>
      </w:tr>
      <w:tr>
        <w:tc>
          <w:tcPr>
            <w:tcW w:type="dxa" w:w="199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  <w:t>Supply humidity ratio ω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  <w:t>0.0074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  <w:t>Dry supply, within expected envelope</w:t>
            </w:r>
          </w:p>
        </w:tc>
      </w:tr>
      <w:tr>
        <w:tc>
          <w:tcPr>
            <w:tcW w:type="dxa" w:w="1994"/>
            <w:vAlign w:val="center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  <w:t>Heat-recovery exchanger (HRX)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  <w:t>Peak Q_HRX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  <w:t>2.58 kW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  <w:t>Counter-flow air-to-air plate, ε ≥ 0.70</w:t>
            </w:r>
          </w:p>
        </w:tc>
      </w:tr>
      <w:tr>
        <w:tc>
          <w:tcPr>
            <w:tcW w:type="dxa" w:w="199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  <w:t>Mean Q_HRX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  <w:t>1.81 kW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  <w:t>Rated ≥ 3 kW @ 400 m³/h each side</w:t>
            </w:r>
          </w:p>
        </w:tc>
      </w:tr>
      <w:tr>
        <w:tc>
          <w:tcPr>
            <w:tcW w:type="dxa" w:w="199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  <w:t>ΔT hot side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  <w:t>3–26 K (mean 18 K)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  <w:t>Equal supply + exhaust ducting</w:t>
            </w:r>
          </w:p>
        </w:tc>
      </w:tr>
      <w:tr>
        <w:tc>
          <w:tcPr>
            <w:tcW w:type="dxa" w:w="199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  <w:t>Face volumetric flow per side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  <w:t>~400 m³/h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9"/>
              </w:rPr>
            </w:r>
          </w:p>
        </w:tc>
      </w:tr>
    </w:tbl>
    <w:p>
      <w:pPr>
        <w:pStyle w:val="Heading2"/>
      </w:pPr>
      <w:r>
        <w:t>2. Purchasing checklist (AC unit)</w:t>
      </w:r>
    </w:p>
    <w:p>
      <w:pPr>
        <w:pStyle w:val="ListBullet"/>
      </w:pPr>
      <w:r>
        <w:t>Nominal cooling 18,000 BTU/h AND heating capacity ≥ 4.5 kW at 7 °C outdoor.</w:t>
      </w:r>
    </w:p>
    <w:p>
      <w:pPr>
        <w:pStyle w:val="ListBullet"/>
      </w:pPr>
      <w:r>
        <w:t>Reversible heat-pump (4-way valve); NOT a cooling-only unit.</w:t>
      </w:r>
    </w:p>
    <w:p>
      <w:pPr>
        <w:pStyle w:val="ListBullet"/>
      </w:pPr>
      <w:r>
        <w:t>DC inverter compressor (capacity modulation).</w:t>
      </w:r>
    </w:p>
    <w:p>
      <w:pPr>
        <w:pStyle w:val="ListBullet"/>
      </w:pPr>
      <w:r>
        <w:t>Refrigerant R32 preferred over R410A (lower GWP, single-component, matches modelling).</w:t>
      </w:r>
    </w:p>
    <w:p>
      <w:pPr>
        <w:pStyle w:val="ListBullet"/>
      </w:pPr>
      <w:r>
        <w:t>Ask whether evaporator and condenser can be mounted together inside the dryer loop with a custom fan (critical for research instrumentation).</w:t>
      </w:r>
    </w:p>
    <w:p>
      <w:pPr>
        <w:pStyle w:val="Heading2"/>
      </w:pPr>
      <w:r>
        <w:t>3. Nepal-market options (1.5-ton reversible inverter split)</w:t>
      </w:r>
    </w:p>
    <w:p>
      <w:r>
        <w:t>All widely sold in Kathmandu. Confirm current nameplate heating capacity and availability with the retailer before purchase.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3324"/>
          </w:tcPr>
          <w:p>
            <w:r>
              <w:rPr>
                <w:b/>
              </w:rPr>
              <w:t>Notes</w:t>
            </w:r>
          </w:p>
        </w:tc>
        <w:tc>
          <w:tcPr>
            <w:tcW w:type="dxa" w:w="3324"/>
          </w:tcPr>
          <w:p>
            <w:r>
              <w:rPr>
                <w:b/>
              </w:rPr>
              <w:t>Where to check</w:t>
            </w:r>
          </w:p>
        </w:tc>
      </w:tr>
      <w:tr>
        <w:tc>
          <w:tcPr>
            <w:tcW w:type="dxa" w:w="3324"/>
          </w:tcPr>
          <w:p>
            <w:r>
              <w:t>Midea MSAGC-18HRFN1 1.5-ton 5-star</w:t>
            </w:r>
          </w:p>
        </w:tc>
        <w:tc>
          <w:tcPr>
            <w:tcW w:type="dxa" w:w="3324"/>
          </w:tcPr>
          <w:p>
            <w:r>
              <w:t>18,000 BTU/h cool, 20,000 BTU/h heat, full-DC inverter — closest match</w:t>
            </w:r>
          </w:p>
        </w:tc>
        <w:tc>
          <w:tcPr>
            <w:tcW w:type="dxa" w:w="3324"/>
          </w:tcPr>
          <w:p>
            <w:r>
              <w:t>Trade Nepal, Electrosewa</w:t>
            </w:r>
          </w:p>
        </w:tc>
      </w:tr>
      <w:tr>
        <w:tc>
          <w:tcPr>
            <w:tcW w:type="dxa" w:w="3324"/>
          </w:tcPr>
          <w:p>
            <w:r>
              <w:t>Stellar SA-15IS1HPA/HE 1.5-ton</w:t>
            </w:r>
          </w:p>
        </w:tc>
        <w:tc>
          <w:tcPr>
            <w:tcW w:type="dxa" w:w="3324"/>
          </w:tcPr>
          <w:p>
            <w:r>
              <w:t>Built for Nepali winters, labelled cooling + heating</w:t>
            </w:r>
          </w:p>
        </w:tc>
        <w:tc>
          <w:tcPr>
            <w:tcW w:type="dxa" w:w="3324"/>
          </w:tcPr>
          <w:p>
            <w:r>
              <w:t>Himelectronics (Stellar)</w:t>
            </w:r>
          </w:p>
        </w:tc>
      </w:tr>
      <w:tr>
        <w:tc>
          <w:tcPr>
            <w:tcW w:type="dxa" w:w="3324"/>
          </w:tcPr>
          <w:p>
            <w:r>
              <w:t>LG 1.5-ton Dual Inverter (wall mount)</w:t>
            </w:r>
          </w:p>
        </w:tc>
        <w:tc>
          <w:tcPr>
            <w:tcW w:type="dxa" w:w="3324"/>
          </w:tcPr>
          <w:p>
            <w:r>
              <w:t>Common 1.5-ton inverter; confirm SKU supports heating mode</w:t>
            </w:r>
          </w:p>
        </w:tc>
        <w:tc>
          <w:tcPr>
            <w:tcW w:type="dxa" w:w="3324"/>
          </w:tcPr>
          <w:p>
            <w:r>
              <w:t>AC Ghar, Daraz</w:t>
            </w:r>
          </w:p>
        </w:tc>
      </w:tr>
      <w:tr>
        <w:tc>
          <w:tcPr>
            <w:tcW w:type="dxa" w:w="3324"/>
          </w:tcPr>
          <w:p>
            <w:r>
              <w:t>Gree 1.5-ton wall mount</w:t>
            </w:r>
          </w:p>
        </w:tc>
        <w:tc>
          <w:tcPr>
            <w:tcW w:type="dxa" w:w="3324"/>
          </w:tcPr>
          <w:p>
            <w:r>
              <w:t>Regularly available; verify reversible model</w:t>
            </w:r>
          </w:p>
        </w:tc>
        <w:tc>
          <w:tcPr>
            <w:tcW w:type="dxa" w:w="3324"/>
          </w:tcPr>
          <w:p>
            <w:r>
              <w:t>AC Ghar</w:t>
            </w:r>
          </w:p>
        </w:tc>
      </w:tr>
      <w:tr>
        <w:tc>
          <w:tcPr>
            <w:tcW w:type="dxa" w:w="3324"/>
          </w:tcPr>
          <w:p>
            <w:r>
              <w:t>CG 1.5-ton DC Inverter wall-mount</w:t>
            </w:r>
          </w:p>
        </w:tc>
        <w:tc>
          <w:tcPr>
            <w:tcW w:type="dxa" w:w="3324"/>
          </w:tcPr>
          <w:p>
            <w:r>
              <w:t>Local brand, serviceable parts</w:t>
            </w:r>
          </w:p>
        </w:tc>
        <w:tc>
          <w:tcPr>
            <w:tcW w:type="dxa" w:w="3324"/>
          </w:tcPr>
          <w:p>
            <w:r>
              <w:t>AC Ghar</w:t>
            </w:r>
          </w:p>
        </w:tc>
      </w:tr>
      <w:tr>
        <w:tc>
          <w:tcPr>
            <w:tcW w:type="dxa" w:w="3324"/>
          </w:tcPr>
          <w:p>
            <w:r>
              <w:t>Samsung AR18TSHZRWKNRC</w:t>
            </w:r>
          </w:p>
        </w:tc>
        <w:tc>
          <w:tcPr>
            <w:tcW w:type="dxa" w:w="3324"/>
          </w:tcPr>
          <w:p>
            <w:r>
              <w:t>5-in-1 convertible, DC inverter, reversible</w:t>
            </w:r>
          </w:p>
        </w:tc>
        <w:tc>
          <w:tcPr>
            <w:tcW w:type="dxa" w:w="3324"/>
          </w:tcPr>
          <w:p>
            <w:r>
              <w:t>Trade Nepal</w:t>
            </w:r>
          </w:p>
        </w:tc>
      </w:tr>
    </w:tbl>
    <w:p>
      <w:pPr>
        <w:pStyle w:val="Heading2"/>
      </w:pPr>
      <w:r>
        <w:t>4. Heat-recovery exchanger (HRX) sourcing</w:t>
      </w:r>
    </w:p>
    <w:p>
      <w:r>
        <w:t>Counter-flow air-to-air plate HRX units are not commonly stocked in the Nepali market. Two realistic sourcing paths:</w:t>
      </w:r>
    </w:p>
    <w:p>
      <w:pPr>
        <w:pStyle w:val="ListNumber"/>
      </w:pPr>
      <w:r>
        <w:t>Import a residential HRV core (sensible-only, NOT ERV) sized 300–500 m³/h at ≥ 70 % effectiveness. Suppliers: ERI Corporation (Italy), Heatex (Sweden), Holtop (China), Airwoods (China), Zeco Aircon (India). Zeco is the closest option logistically.</w:t>
      </w:r>
    </w:p>
    <w:p>
      <w:pPr>
        <w:pStyle w:val="ListNumber"/>
      </w:pPr>
      <w:r>
        <w:t>Fabricate locally: a workshop in Balaju can build a 0.5 × 0.5 × 0.3 m counter-flow box from brazed aluminium or corrugated polypropylene plates. Target ≥ 2 m² plate area to hit ε = 0.70 at 400 m³/h. Validate effectiveness with a thermocouple traverse before use.</w:t>
      </w:r>
    </w:p>
    <w:p>
      <w:r>
        <w:t>Avoid ERVs with enthalpy wheels: moisture transfer across the plate would break the sensible-only assumption in the Config D/E simulations and confound the comparison.</w:t>
      </w:r>
    </w:p>
    <w:p>
      <w:pPr>
        <w:pStyle w:val="Heading2"/>
      </w:pPr>
      <w:r>
        <w:t>5. Instrumentation to budget for</w:t>
      </w:r>
    </w:p>
    <w:p>
      <w:pPr>
        <w:pStyle w:val="ListBullet"/>
      </w:pPr>
      <w:r>
        <w:t>PID thermostat with supply-air sensor (override the AC's stock room sensor).</w:t>
      </w:r>
    </w:p>
    <w:p>
      <w:pPr>
        <w:pStyle w:val="ListBullet"/>
      </w:pPr>
      <w:r>
        <w:t>Four T/RH sensors minimum (SHT35 or equivalent): ambient, chamber inlet, exhaust, evaporator inlet.</w:t>
      </w:r>
    </w:p>
    <w:p>
      <w:pPr>
        <w:pStyle w:val="ListBullet"/>
      </w:pPr>
      <w:r>
        <w:t>Two clamp-on kWh meters: one for compressor, one for fan, to validate SEC.</w:t>
      </w:r>
    </w:p>
    <w:p>
      <w:pPr>
        <w:pStyle w:val="ListBullet"/>
      </w:pPr>
      <w:r>
        <w:t>Pressure taps + manometer across evaporator and condenser coils (verify the 80 Pa each assumed by the fan-power model).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