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D5A"/>
        </w:rPr>
        <w:t>Results and Discussion</w:t>
      </w:r>
    </w:p>
    <w:p>
      <w:pPr>
        <w:spacing w:after="80"/>
      </w:pPr>
      <w:r>
        <w:rPr>
          <w:b w:val="0"/>
          <w:i w:val="0"/>
          <w:sz w:val="22"/>
        </w:rPr>
        <w:t>This chapter presents the simulation results for ten SAHPD configurations across three contrasting Nepali climates: Kathmandu (highland basin), Biratnagar (tropical lowland) and Taplejung (mid-altitude hills). The sections are sequenced as a design narrative. Config A establishes the heat-pump-only baseline. Config B introduces flat-plate solar in series. Config C explores alternative solar placements that expose an ordering principle. Section 4 tackles the late-drying inefficiency uncovered in the recirculation analysis. Config D adds a waste-heat recovery exchanger (HRX) that works day and night, and Config E combines HRX with solar to reach the lowest specific energy consumption observed in the study. Section 7 ranks every configuration on a single axis and converts the findings into site-specific recommendations, and Section 8 documents the modelling assumptions that bound these conclusions.</w:t>
      </w:r>
    </w:p>
    <w:p>
      <w:pPr>
        <w:spacing w:after="80"/>
      </w:pPr>
      <w:r>
        <w:rPr>
          <w:b w:val="0"/>
          <w:i/>
          <w:sz w:val="20"/>
        </w:rPr>
        <w:t>Every number in every table is taken directly from the simulation outputs. Model inputs (collector optical and loss coefficients, evaporator and condenser effectiveness, HRX effectiveness, compressor isentropic efficiency, and the fitted Midilli drying kinetics) are documented once at the point of first use and repeated in the limitations section (Section 8). No literature values are cited in the results narrative unless they are also inputs to the code.</w:t>
      </w:r>
    </w:p>
    <w:p>
      <w:pPr>
        <w:pStyle w:val="Heading1"/>
      </w:pPr>
      <w:r>
        <w:rPr>
          <w:color w:val="1F2D5A"/>
        </w:rPr>
        <w:t>1  Config A: Heat-Pump-Only Baseline</w:t>
      </w:r>
    </w:p>
    <w:p>
      <w:pPr>
        <w:pStyle w:val="Heading2"/>
      </w:pPr>
      <w:r>
        <w:rPr>
          <w:color w:val="1F2D5A"/>
        </w:rPr>
        <w:t>1.1  System Description and Air Paths</w:t>
      </w:r>
    </w:p>
    <w:p>
      <w:pPr>
        <w:spacing w:after="80"/>
      </w:pPr>
      <w:r>
        <w:rPr>
          <w:b w:val="0"/>
          <w:i w:val="0"/>
          <w:sz w:val="22"/>
        </w:rPr>
        <w:t>Config A is the reference convective heat-pump dryer with no solar assistance and no heat recovery. It therefore isolates the performance ceiling of a vapour-compression cycle driving a ten-tray chamber, and provides the benchmark against which every subsequent configuration is measured. The system operates in one of two regimes depending on the recirculation ratio r.</w:t>
      </w:r>
    </w:p>
    <w:p>
      <w:pPr>
        <w:spacing w:after="80"/>
      </w:pPr>
      <w:r>
        <w:rPr>
          <w:b/>
          <w:i w:val="0"/>
          <w:sz w:val="22"/>
        </w:rPr>
        <w:t>Open-loop mode (r = 0)</w:t>
      </w:r>
    </w:p>
    <w:p>
      <w:pPr>
        <w:jc w:val="center"/>
      </w:pPr>
      <w:r>
        <w:rPr>
          <w:b/>
          <w:i/>
          <w:color w:val="996600"/>
        </w:rPr>
        <w:t>[ DIAGRAM: Config A open-loop air path ]</w:t>
      </w:r>
    </w:p>
    <w:p>
      <w:pPr>
        <w:jc w:val="center"/>
      </w:pPr>
      <w:r>
        <w:rPr>
          <w:i/>
          <w:sz w:val="20"/>
        </w:rPr>
        <w:t>Figure 1. Config A open-loop (r = 0) schematic. Process air and evaporator air are separate streams.</w:t>
      </w:r>
    </w:p>
    <w:p>
      <w:pPr>
        <w:spacing w:after="80"/>
      </w:pPr>
      <w:r>
        <w:rPr>
          <w:b w:val="0"/>
          <w:i w:val="0"/>
          <w:sz w:val="22"/>
        </w:rPr>
        <w:t>Ambient air enters the condenser, is heated to the set-point T_set = 45 °C, passes through the drying chamber where it picks up moisture, and is exhausted. No dehumidification takes place in the process loop; chamber-inlet humidity equals ambient humidity. A separate ambient stream feeds the evaporator, and the evaporator saturation temperature adapts to local conditions every timestep as T_evap = T_amb − 10 K (a constant 10 K approach between the source air and the refrigerant). The compressor therefore lifts the refrigerant from T_evap to T_cond = T_set + 10 = 55 °C, a total lift of 65 − T_amb K. Warmer ambient air shrinks the lift and, all else equal, raises the cycle COP.</w:t>
      </w:r>
    </w:p>
    <w:p>
      <w:pPr>
        <w:spacing w:after="80"/>
      </w:pPr>
      <w:r>
        <w:rPr>
          <w:b/>
          <w:i w:val="0"/>
          <w:sz w:val="22"/>
        </w:rPr>
        <w:t>Closed-loop mode (r &gt; 0)</w:t>
      </w:r>
    </w:p>
    <w:p>
      <w:pPr>
        <w:jc w:val="center"/>
      </w:pPr>
      <w:r>
        <w:rPr>
          <w:b/>
          <w:i/>
          <w:color w:val="996600"/>
        </w:rPr>
        <w:t>[ DIAGRAM: Config A closed-loop air path ]</w:t>
      </w:r>
    </w:p>
    <w:p>
      <w:pPr>
        <w:jc w:val="center"/>
      </w:pPr>
      <w:r>
        <w:rPr>
          <w:i/>
          <w:sz w:val="20"/>
        </w:rPr>
        <w:t>Figure 2. Config A closed-loop (r &gt; 0) schematic. Recirculated exhaust mixes with fresh ambient air, is dehumidified at the evaporator, then reheated at the condenser before re-entering the chamber.</w:t>
      </w:r>
    </w:p>
    <w:p>
      <w:pPr>
        <w:spacing w:after="80"/>
      </w:pPr>
      <w:r>
        <w:rPr>
          <w:b w:val="0"/>
          <w:i w:val="0"/>
          <w:sz w:val="22"/>
        </w:rPr>
        <w:t>A fraction r of the chamber exhaust is mixed with fresh ambient air upstream of the evaporator on enthalpy and humidity ratio (ω_mix = r·ω_exh + (1−r)·ω_amb; h_mix similarly). The mixed stream is cooled against a coil held at T_coil = T_evap + 3 K, and with effectiveness ε_evap = 0.85 this determines the evaporator outlet state. If the outlet falls below the mixed stream's dew point, moisture condenses and the air exits saturated. The cold, dehumidified stream is then reheated to T_set by the condenser under a first-law closure (Q_cond = Q_evap + W_comp).</w:t>
      </w:r>
    </w:p>
    <w:p>
      <w:pPr>
        <w:spacing w:after="80"/>
      </w:pPr>
      <w:r>
        <w:rPr>
          <w:b w:val="0"/>
          <w:i w:val="0"/>
          <w:sz w:val="22"/>
        </w:rPr>
        <w:t>A single modelling choice drives almost every closed-loop result in this chapter. In open-loop mode T_evap tracks the ambient (T_amb − 10 K), whereas in closed-loop it is pinned at 5 °C regardless of ambient. This is a deliberate simplification that reflects how most commercially available vapour-compression dehumidifiers are specified. The asymmetry produces the recirculation crossover analysed in Section 1.3.</w:t>
      </w:r>
    </w:p>
    <w:p>
      <w:pPr>
        <w:pStyle w:val="Heading2"/>
      </w:pPr>
      <w:r>
        <w:rPr>
          <w:color w:val="1F2D5A"/>
        </w:rPr>
        <w:t>1.2  Open-Loop Baseline (r = 0)</w:t>
      </w:r>
    </w:p>
    <w:p>
      <w:pPr>
        <w:spacing w:before="120" w:after="40"/>
      </w:pPr>
      <w:r>
        <w:rPr>
          <w:b/>
          <w:sz w:val="20"/>
        </w:rPr>
        <w:t>Table 1. Config A open-loop (r = 0) annual-TMY performance across the three locations.</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vAlign w:val="center"/>
            <w:shd w:val="clear" w:color="auto" w:fill="E6ECF5"/>
          </w:tcPr>
          <w:p>
            <w:pPr>
              <w:jc w:val="center"/>
            </w:pPr>
            <w:r/>
            <w:r>
              <w:rPr>
                <w:b/>
                <w:sz w:val="20"/>
              </w:rPr>
              <w:t>Location</w:t>
            </w:r>
          </w:p>
        </w:tc>
        <w:tc>
          <w:tcPr>
            <w:tcW w:type="dxa" w:w="1218"/>
            <w:vAlign w:val="center"/>
            <w:shd w:val="clear" w:color="auto" w:fill="E6ECF5"/>
          </w:tcPr>
          <w:p>
            <w:pPr>
              <w:jc w:val="center"/>
            </w:pPr>
            <w:r/>
            <w:r>
              <w:rPr>
                <w:b/>
                <w:sz w:val="20"/>
              </w:rPr>
              <w:t>T_amb (°C)</w:t>
            </w:r>
          </w:p>
        </w:tc>
        <w:tc>
          <w:tcPr>
            <w:tcW w:type="dxa" w:w="1218"/>
            <w:vAlign w:val="center"/>
            <w:shd w:val="clear" w:color="auto" w:fill="E6ECF5"/>
          </w:tcPr>
          <w:p>
            <w:pPr>
              <w:jc w:val="center"/>
            </w:pPr>
            <w:r/>
            <w:r>
              <w:rPr>
                <w:b/>
                <w:sz w:val="20"/>
              </w:rPr>
              <w:t>Time (h)</w:t>
            </w:r>
          </w:p>
        </w:tc>
        <w:tc>
          <w:tcPr>
            <w:tcW w:type="dxa" w:w="1218"/>
            <w:vAlign w:val="center"/>
            <w:shd w:val="clear" w:color="auto" w:fill="E6ECF5"/>
          </w:tcPr>
          <w:p>
            <w:pPr>
              <w:jc w:val="center"/>
            </w:pPr>
            <w:r/>
            <w:r>
              <w:rPr>
                <w:b/>
                <w:sz w:val="20"/>
              </w:rPr>
              <w:t>SEC (kWh/kg)</w:t>
            </w:r>
          </w:p>
        </w:tc>
        <w:tc>
          <w:tcPr>
            <w:tcW w:type="dxa" w:w="1218"/>
            <w:vAlign w:val="center"/>
            <w:shd w:val="clear" w:color="auto" w:fill="E6ECF5"/>
          </w:tcPr>
          <w:p>
            <w:pPr>
              <w:jc w:val="center"/>
            </w:pPr>
            <w:r/>
            <w:r>
              <w:rPr>
                <w:b/>
                <w:sz w:val="20"/>
              </w:rPr>
              <w:t>W_comp (kWh)</w:t>
            </w:r>
          </w:p>
        </w:tc>
        <w:tc>
          <w:tcPr>
            <w:tcW w:type="dxa" w:w="1218"/>
            <w:vAlign w:val="center"/>
            <w:shd w:val="clear" w:color="auto" w:fill="E6ECF5"/>
          </w:tcPr>
          <w:p>
            <w:pPr>
              <w:jc w:val="center"/>
            </w:pPr>
            <w:r/>
            <w:r>
              <w:rPr>
                <w:b/>
                <w:sz w:val="20"/>
              </w:rPr>
              <w:t>W_fan (kWh)</w:t>
            </w:r>
          </w:p>
        </w:tc>
        <w:tc>
          <w:tcPr>
            <w:tcW w:type="dxa" w:w="1218"/>
            <w:vAlign w:val="center"/>
            <w:shd w:val="clear" w:color="auto" w:fill="E6ECF5"/>
          </w:tcPr>
          <w:p>
            <w:pPr>
              <w:jc w:val="center"/>
            </w:pPr>
            <w:r/>
            <w:r>
              <w:rPr>
                <w:b/>
                <w:sz w:val="20"/>
              </w:rPr>
              <w:t>Q_cond (kWh)</w:t>
            </w:r>
          </w:p>
        </w:tc>
        <w:tc>
          <w:tcPr>
            <w:tcW w:type="dxa" w:w="1218"/>
            <w:vAlign w:val="center"/>
            <w:shd w:val="clear" w:color="auto" w:fill="E6ECF5"/>
          </w:tcPr>
          <w:p>
            <w:pPr>
              <w:jc w:val="center"/>
            </w:pPr>
            <w:r/>
            <w:r>
              <w:rPr>
                <w:b/>
                <w:sz w:val="20"/>
              </w:rPr>
              <w:t>COP</w:t>
            </w:r>
          </w:p>
        </w:tc>
      </w:tr>
      <w:tr>
        <w:tc>
          <w:tcPr>
            <w:tcW w:type="dxa" w:w="1218"/>
            <w:vAlign w:val="center"/>
          </w:tcPr>
          <w:p>
            <w:pPr>
              <w:jc w:val="left"/>
            </w:pPr>
            <w:r/>
            <w:r>
              <w:rPr>
                <w:b/>
                <w:sz w:val="20"/>
              </w:rPr>
              <w:t>Kathmandu</w:t>
            </w:r>
          </w:p>
        </w:tc>
        <w:tc>
          <w:tcPr>
            <w:tcW w:type="dxa" w:w="1218"/>
            <w:vAlign w:val="center"/>
          </w:tcPr>
          <w:p>
            <w:pPr>
              <w:jc w:val="center"/>
            </w:pPr>
            <w:r/>
            <w:r>
              <w:rPr>
                <w:sz w:val="20"/>
              </w:rPr>
              <w:t>15.7</w:t>
            </w:r>
          </w:p>
        </w:tc>
        <w:tc>
          <w:tcPr>
            <w:tcW w:type="dxa" w:w="1218"/>
            <w:vAlign w:val="center"/>
          </w:tcPr>
          <w:p>
            <w:pPr>
              <w:jc w:val="center"/>
            </w:pPr>
            <w:r/>
            <w:r>
              <w:rPr>
                <w:sz w:val="20"/>
              </w:rPr>
              <w:t>13.85</w:t>
            </w:r>
          </w:p>
        </w:tc>
        <w:tc>
          <w:tcPr>
            <w:tcW w:type="dxa" w:w="1218"/>
            <w:vAlign w:val="center"/>
          </w:tcPr>
          <w:p>
            <w:pPr>
              <w:jc w:val="center"/>
            </w:pPr>
            <w:r/>
            <w:r>
              <w:rPr>
                <w:sz w:val="20"/>
              </w:rPr>
              <w:t>0.717</w:t>
            </w:r>
          </w:p>
        </w:tc>
        <w:tc>
          <w:tcPr>
            <w:tcW w:type="dxa" w:w="1218"/>
            <w:vAlign w:val="center"/>
          </w:tcPr>
          <w:p>
            <w:pPr>
              <w:jc w:val="center"/>
            </w:pPr>
            <w:r/>
            <w:r>
              <w:rPr>
                <w:sz w:val="20"/>
              </w:rPr>
              <w:t>13.52</w:t>
            </w:r>
          </w:p>
        </w:tc>
        <w:tc>
          <w:tcPr>
            <w:tcW w:type="dxa" w:w="1218"/>
            <w:vAlign w:val="center"/>
          </w:tcPr>
          <w:p>
            <w:pPr>
              <w:jc w:val="center"/>
            </w:pPr>
            <w:r/>
            <w:r>
              <w:rPr>
                <w:sz w:val="20"/>
              </w:rPr>
              <w:t>0.34</w:t>
            </w:r>
          </w:p>
        </w:tc>
        <w:tc>
          <w:tcPr>
            <w:tcW w:type="dxa" w:w="1218"/>
            <w:vAlign w:val="center"/>
          </w:tcPr>
          <w:p>
            <w:pPr>
              <w:jc w:val="center"/>
            </w:pPr>
            <w:r/>
            <w:r>
              <w:rPr>
                <w:sz w:val="20"/>
              </w:rPr>
              <w:t>49.0</w:t>
            </w:r>
          </w:p>
        </w:tc>
        <w:tc>
          <w:tcPr>
            <w:tcW w:type="dxa" w:w="1218"/>
            <w:vAlign w:val="center"/>
          </w:tcPr>
          <w:p>
            <w:pPr>
              <w:jc w:val="center"/>
            </w:pPr>
            <w:r/>
            <w:r>
              <w:rPr>
                <w:sz w:val="20"/>
              </w:rPr>
              <w:t>3.63</w:t>
            </w:r>
          </w:p>
        </w:tc>
      </w:tr>
      <w:tr>
        <w:tc>
          <w:tcPr>
            <w:tcW w:type="dxa" w:w="1218"/>
            <w:vAlign w:val="center"/>
          </w:tcPr>
          <w:p>
            <w:pPr>
              <w:jc w:val="left"/>
            </w:pPr>
            <w:r/>
            <w:r>
              <w:rPr>
                <w:b/>
                <w:sz w:val="20"/>
              </w:rPr>
              <w:t>Biratnagar</w:t>
            </w:r>
          </w:p>
        </w:tc>
        <w:tc>
          <w:tcPr>
            <w:tcW w:type="dxa" w:w="1218"/>
            <w:vAlign w:val="center"/>
          </w:tcPr>
          <w:p>
            <w:pPr>
              <w:jc w:val="center"/>
            </w:pPr>
            <w:r/>
            <w:r>
              <w:rPr>
                <w:sz w:val="20"/>
              </w:rPr>
              <w:t>24.4</w:t>
            </w:r>
          </w:p>
        </w:tc>
        <w:tc>
          <w:tcPr>
            <w:tcW w:type="dxa" w:w="1218"/>
            <w:vAlign w:val="center"/>
          </w:tcPr>
          <w:p>
            <w:pPr>
              <w:jc w:val="center"/>
            </w:pPr>
            <w:r/>
            <w:r>
              <w:rPr>
                <w:sz w:val="20"/>
              </w:rPr>
              <w:t>14.45</w:t>
            </w:r>
          </w:p>
        </w:tc>
        <w:tc>
          <w:tcPr>
            <w:tcW w:type="dxa" w:w="1218"/>
            <w:vAlign w:val="center"/>
          </w:tcPr>
          <w:p>
            <w:pPr>
              <w:jc w:val="center"/>
            </w:pPr>
            <w:r/>
            <w:r>
              <w:rPr>
                <w:sz w:val="20"/>
              </w:rPr>
              <w:t>0.543</w:t>
            </w:r>
          </w:p>
        </w:tc>
        <w:tc>
          <w:tcPr>
            <w:tcW w:type="dxa" w:w="1218"/>
            <w:vAlign w:val="center"/>
          </w:tcPr>
          <w:p>
            <w:pPr>
              <w:jc w:val="center"/>
            </w:pPr>
            <w:r/>
            <w:r>
              <w:rPr>
                <w:sz w:val="20"/>
              </w:rPr>
              <w:t>10.13</w:t>
            </w:r>
          </w:p>
        </w:tc>
        <w:tc>
          <w:tcPr>
            <w:tcW w:type="dxa" w:w="1218"/>
            <w:vAlign w:val="center"/>
          </w:tcPr>
          <w:p>
            <w:pPr>
              <w:jc w:val="center"/>
            </w:pPr>
            <w:r/>
            <w:r>
              <w:rPr>
                <w:sz w:val="20"/>
              </w:rPr>
              <w:t>0.36</w:t>
            </w:r>
          </w:p>
        </w:tc>
        <w:tc>
          <w:tcPr>
            <w:tcW w:type="dxa" w:w="1218"/>
            <w:vAlign w:val="center"/>
          </w:tcPr>
          <w:p>
            <w:pPr>
              <w:jc w:val="center"/>
            </w:pPr>
            <w:r/>
            <w:r>
              <w:rPr>
                <w:sz w:val="20"/>
              </w:rPr>
              <w:t>44.4</w:t>
            </w:r>
          </w:p>
        </w:tc>
        <w:tc>
          <w:tcPr>
            <w:tcW w:type="dxa" w:w="1218"/>
            <w:vAlign w:val="center"/>
          </w:tcPr>
          <w:p>
            <w:pPr>
              <w:jc w:val="center"/>
            </w:pPr>
            <w:r/>
            <w:r>
              <w:rPr>
                <w:sz w:val="20"/>
              </w:rPr>
              <w:t>4.43</w:t>
            </w:r>
          </w:p>
        </w:tc>
      </w:tr>
      <w:tr>
        <w:tc>
          <w:tcPr>
            <w:tcW w:type="dxa" w:w="1218"/>
            <w:vAlign w:val="center"/>
          </w:tcPr>
          <w:p>
            <w:pPr>
              <w:jc w:val="left"/>
            </w:pPr>
            <w:r/>
            <w:r>
              <w:rPr>
                <w:b/>
                <w:sz w:val="20"/>
              </w:rPr>
              <w:t>Taplejung</w:t>
            </w:r>
          </w:p>
        </w:tc>
        <w:tc>
          <w:tcPr>
            <w:tcW w:type="dxa" w:w="1218"/>
            <w:vAlign w:val="center"/>
          </w:tcPr>
          <w:p>
            <w:pPr>
              <w:jc w:val="center"/>
            </w:pPr>
            <w:r/>
            <w:r>
              <w:rPr>
                <w:sz w:val="20"/>
              </w:rPr>
              <w:t>16.8</w:t>
            </w:r>
          </w:p>
        </w:tc>
        <w:tc>
          <w:tcPr>
            <w:tcW w:type="dxa" w:w="1218"/>
            <w:vAlign w:val="center"/>
          </w:tcPr>
          <w:p>
            <w:pPr>
              <w:jc w:val="center"/>
            </w:pPr>
            <w:r/>
            <w:r>
              <w:rPr>
                <w:sz w:val="20"/>
              </w:rPr>
              <w:t>13.97</w:t>
            </w:r>
          </w:p>
        </w:tc>
        <w:tc>
          <w:tcPr>
            <w:tcW w:type="dxa" w:w="1218"/>
            <w:vAlign w:val="center"/>
          </w:tcPr>
          <w:p>
            <w:pPr>
              <w:jc w:val="center"/>
            </w:pPr>
            <w:r/>
            <w:r>
              <w:rPr>
                <w:sz w:val="20"/>
              </w:rPr>
              <w:t>0.566</w:t>
            </w:r>
          </w:p>
        </w:tc>
        <w:tc>
          <w:tcPr>
            <w:tcW w:type="dxa" w:w="1218"/>
            <w:vAlign w:val="center"/>
          </w:tcPr>
          <w:p>
            <w:pPr>
              <w:jc w:val="center"/>
            </w:pPr>
            <w:r/>
            <w:r>
              <w:rPr>
                <w:sz w:val="20"/>
              </w:rPr>
              <w:t>10.61</w:t>
            </w:r>
          </w:p>
        </w:tc>
        <w:tc>
          <w:tcPr>
            <w:tcW w:type="dxa" w:w="1218"/>
            <w:vAlign w:val="center"/>
          </w:tcPr>
          <w:p>
            <w:pPr>
              <w:jc w:val="center"/>
            </w:pPr>
            <w:r/>
            <w:r>
              <w:rPr>
                <w:sz w:val="20"/>
              </w:rPr>
              <w:t>0.34</w:t>
            </w:r>
          </w:p>
        </w:tc>
        <w:tc>
          <w:tcPr>
            <w:tcW w:type="dxa" w:w="1218"/>
            <w:vAlign w:val="center"/>
          </w:tcPr>
          <w:p>
            <w:pPr>
              <w:jc w:val="center"/>
            </w:pPr>
            <w:r/>
            <w:r>
              <w:rPr>
                <w:sz w:val="20"/>
              </w:rPr>
              <w:t>41.6</w:t>
            </w:r>
          </w:p>
        </w:tc>
        <w:tc>
          <w:tcPr>
            <w:tcW w:type="dxa" w:w="1218"/>
            <w:vAlign w:val="center"/>
          </w:tcPr>
          <w:p>
            <w:pPr>
              <w:jc w:val="center"/>
            </w:pPr>
            <w:r/>
            <w:r>
              <w:rPr>
                <w:sz w:val="20"/>
              </w:rPr>
              <w:t>3.92</w:t>
            </w:r>
          </w:p>
        </w:tc>
      </w:tr>
    </w:tbl>
    <w:p>
      <w:pPr>
        <w:spacing w:after="80"/>
      </w:pPr>
      <w:r>
        <w:rPr>
          <w:b w:val="0"/>
          <w:i w:val="0"/>
          <w:sz w:val="22"/>
        </w:rPr>
        <w:t>Annual-TMY SEC ranges from 0.543 kWh/kg at Biratnagar to 0.717 kWh/kg at Kathmandu, a 32 % climate-driven spread for the same physical hardware and the same product load. Taplejung sits close to Kathmandu at 0.566 kWh/kg. Two effects account for this spread. First is the temperature lift. Biratnagar's 24.4 °C mean ambient gives a 40.6 K lift and COP = 4.43, whereas Kathmandu's 15.7 °C mean ambient produces a 49.3 K lift and COP = 3.63. The second is site pressure. Biratnagar (72 m, about 100.5 kPa) has a denser air mass flow per unit volumetric flow than Kathmandu (1 350 m, about 86.1 kPa) or Taplejung (1 790 m, about 81.8 kPa), which slightly improves the volumetric heat-transfer coefficient at the coils.</w:t>
      </w:r>
    </w:p>
    <w:p>
      <w:pPr>
        <w:spacing w:after="80"/>
      </w:pPr>
      <w:r>
        <w:rPr>
          <w:b w:val="0"/>
          <w:i w:val="0"/>
          <w:sz w:val="22"/>
        </w:rPr>
        <w:t>Drying time on the annual TMY is within 0.6 h across the three sites (13.85 to 14.45 h). This near-constancy is expected. The chamber-inlet temperature is held at 45 °C at every timestep, and inlet humidity ratio (ω_amb) is low enough at all three sites that the α_RH = 1.75 suppression term in the Midilli kinetics does not significantly decelerate the rate. The differences between sites are therefore channelled almost entirely into compressor work, which is the metric that SEC exposes.</w:t>
      </w:r>
    </w:p>
    <w:p>
      <w:pPr>
        <w:spacing w:before="120" w:after="40"/>
      </w:pPr>
      <w:r>
        <w:rPr>
          <w:b/>
          <w:sz w:val="20"/>
        </w:rPr>
        <w:t>Table 2. Config A (r = 0) seasonal breakdown. Annual rows correspond to the TMY file; autumn/winter/spring use the seasonal splits.</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vAlign w:val="center"/>
            <w:shd w:val="clear" w:color="auto" w:fill="E6ECF5"/>
          </w:tcPr>
          <w:p>
            <w:pPr>
              <w:jc w:val="center"/>
            </w:pPr>
            <w:r/>
            <w:r>
              <w:rPr>
                <w:b/>
                <w:sz w:val="20"/>
              </w:rPr>
              <w:t>Location</w:t>
            </w:r>
          </w:p>
        </w:tc>
        <w:tc>
          <w:tcPr>
            <w:tcW w:type="dxa" w:w="1218"/>
            <w:vAlign w:val="center"/>
            <w:shd w:val="clear" w:color="auto" w:fill="E6ECF5"/>
          </w:tcPr>
          <w:p>
            <w:pPr>
              <w:jc w:val="center"/>
            </w:pPr>
            <w:r/>
            <w:r>
              <w:rPr>
                <w:b/>
                <w:sz w:val="20"/>
              </w:rPr>
              <w:t>Season</w:t>
            </w:r>
          </w:p>
        </w:tc>
        <w:tc>
          <w:tcPr>
            <w:tcW w:type="dxa" w:w="1218"/>
            <w:vAlign w:val="center"/>
            <w:shd w:val="clear" w:color="auto" w:fill="E6ECF5"/>
          </w:tcPr>
          <w:p>
            <w:pPr>
              <w:jc w:val="center"/>
            </w:pPr>
            <w:r/>
            <w:r>
              <w:rPr>
                <w:b/>
                <w:sz w:val="20"/>
              </w:rPr>
              <w:t>T_amb (°C)</w:t>
            </w:r>
          </w:p>
        </w:tc>
        <w:tc>
          <w:tcPr>
            <w:tcW w:type="dxa" w:w="1218"/>
            <w:vAlign w:val="center"/>
            <w:shd w:val="clear" w:color="auto" w:fill="E6ECF5"/>
          </w:tcPr>
          <w:p>
            <w:pPr>
              <w:jc w:val="center"/>
            </w:pPr>
            <w:r/>
            <w:r>
              <w:rPr>
                <w:b/>
                <w:sz w:val="20"/>
              </w:rPr>
              <w:t>Time (h)</w:t>
            </w:r>
          </w:p>
        </w:tc>
        <w:tc>
          <w:tcPr>
            <w:tcW w:type="dxa" w:w="1218"/>
            <w:vAlign w:val="center"/>
            <w:shd w:val="clear" w:color="auto" w:fill="E6ECF5"/>
          </w:tcPr>
          <w:p>
            <w:pPr>
              <w:jc w:val="center"/>
            </w:pPr>
            <w:r/>
            <w:r>
              <w:rPr>
                <w:b/>
                <w:sz w:val="20"/>
              </w:rPr>
              <w:t>SEC (kWh/kg)</w:t>
            </w:r>
          </w:p>
        </w:tc>
        <w:tc>
          <w:tcPr>
            <w:tcW w:type="dxa" w:w="1218"/>
            <w:vAlign w:val="center"/>
            <w:shd w:val="clear" w:color="auto" w:fill="E6ECF5"/>
          </w:tcPr>
          <w:p>
            <w:pPr>
              <w:jc w:val="center"/>
            </w:pPr>
            <w:r/>
            <w:r>
              <w:rPr>
                <w:b/>
                <w:sz w:val="20"/>
              </w:rPr>
              <w:t>W_comp (kWh)</w:t>
            </w:r>
          </w:p>
        </w:tc>
        <w:tc>
          <w:tcPr>
            <w:tcW w:type="dxa" w:w="1218"/>
            <w:vAlign w:val="center"/>
            <w:shd w:val="clear" w:color="auto" w:fill="E6ECF5"/>
          </w:tcPr>
          <w:p>
            <w:pPr>
              <w:jc w:val="center"/>
            </w:pPr>
            <w:r/>
            <w:r>
              <w:rPr>
                <w:b/>
                <w:sz w:val="20"/>
              </w:rPr>
              <w:t>Q_cond (kWh)</w:t>
            </w:r>
          </w:p>
        </w:tc>
        <w:tc>
          <w:tcPr>
            <w:tcW w:type="dxa" w:w="1218"/>
            <w:vAlign w:val="center"/>
            <w:shd w:val="clear" w:color="auto" w:fill="E6ECF5"/>
          </w:tcPr>
          <w:p>
            <w:pPr>
              <w:jc w:val="center"/>
            </w:pPr>
            <w:r/>
            <w:r>
              <w:rPr>
                <w:b/>
                <w:sz w:val="20"/>
              </w:rPr>
              <w:t>COP</w:t>
            </w:r>
          </w:p>
        </w:tc>
      </w:tr>
      <w:tr>
        <w:tc>
          <w:tcPr>
            <w:tcW w:type="dxa" w:w="1218"/>
            <w:vAlign w:val="center"/>
          </w:tcPr>
          <w:p>
            <w:pPr>
              <w:jc w:val="left"/>
            </w:pPr>
            <w:r/>
            <w:r>
              <w:rPr>
                <w:b/>
                <w:sz w:val="20"/>
              </w:rPr>
              <w:t>Kathmandu</w:t>
            </w:r>
          </w:p>
        </w:tc>
        <w:tc>
          <w:tcPr>
            <w:tcW w:type="dxa" w:w="1218"/>
            <w:vAlign w:val="center"/>
          </w:tcPr>
          <w:p>
            <w:pPr>
              <w:jc w:val="center"/>
            </w:pPr>
            <w:r/>
            <w:r>
              <w:rPr>
                <w:sz w:val="20"/>
              </w:rPr>
              <w:t>Annual TMY</w:t>
            </w:r>
          </w:p>
        </w:tc>
        <w:tc>
          <w:tcPr>
            <w:tcW w:type="dxa" w:w="1218"/>
            <w:vAlign w:val="center"/>
          </w:tcPr>
          <w:p>
            <w:pPr>
              <w:jc w:val="center"/>
            </w:pPr>
            <w:r/>
            <w:r>
              <w:rPr>
                <w:sz w:val="20"/>
              </w:rPr>
              <w:t>15.7</w:t>
            </w:r>
          </w:p>
        </w:tc>
        <w:tc>
          <w:tcPr>
            <w:tcW w:type="dxa" w:w="1218"/>
            <w:vAlign w:val="center"/>
          </w:tcPr>
          <w:p>
            <w:pPr>
              <w:jc w:val="center"/>
            </w:pPr>
            <w:r/>
            <w:r>
              <w:rPr>
                <w:sz w:val="20"/>
              </w:rPr>
              <w:t>13.85</w:t>
            </w:r>
          </w:p>
        </w:tc>
        <w:tc>
          <w:tcPr>
            <w:tcW w:type="dxa" w:w="1218"/>
            <w:vAlign w:val="center"/>
          </w:tcPr>
          <w:p>
            <w:pPr>
              <w:jc w:val="center"/>
            </w:pPr>
            <w:r/>
            <w:r>
              <w:rPr>
                <w:sz w:val="20"/>
              </w:rPr>
              <w:t>0.717</w:t>
            </w:r>
          </w:p>
        </w:tc>
        <w:tc>
          <w:tcPr>
            <w:tcW w:type="dxa" w:w="1218"/>
            <w:vAlign w:val="center"/>
          </w:tcPr>
          <w:p>
            <w:pPr>
              <w:jc w:val="center"/>
            </w:pPr>
            <w:r/>
            <w:r>
              <w:rPr>
                <w:sz w:val="20"/>
              </w:rPr>
              <w:t>13.52</w:t>
            </w:r>
          </w:p>
        </w:tc>
        <w:tc>
          <w:tcPr>
            <w:tcW w:type="dxa" w:w="1218"/>
            <w:vAlign w:val="center"/>
          </w:tcPr>
          <w:p>
            <w:pPr>
              <w:jc w:val="center"/>
            </w:pPr>
            <w:r/>
            <w:r>
              <w:rPr>
                <w:sz w:val="20"/>
              </w:rPr>
              <w:t>49.0</w:t>
            </w:r>
          </w:p>
        </w:tc>
        <w:tc>
          <w:tcPr>
            <w:tcW w:type="dxa" w:w="1218"/>
            <w:vAlign w:val="center"/>
          </w:tcPr>
          <w:p>
            <w:pPr>
              <w:jc w:val="center"/>
            </w:pPr>
            <w:r/>
            <w:r>
              <w:rPr>
                <w:sz w:val="20"/>
              </w:rPr>
              <w:t>3.63</w:t>
            </w:r>
          </w:p>
        </w:tc>
      </w:tr>
      <w:tr>
        <w:tc>
          <w:tcPr>
            <w:tcW w:type="dxa" w:w="1218"/>
            <w:vAlign w:val="center"/>
          </w:tcPr>
          <w:p>
            <w:pPr>
              <w:jc w:val="left"/>
            </w:pPr>
            <w:r/>
            <w:r>
              <w:rPr>
                <w:b/>
                <w:sz w:val="20"/>
              </w:rPr>
              <w:t>Kathmandu</w:t>
            </w:r>
          </w:p>
        </w:tc>
        <w:tc>
          <w:tcPr>
            <w:tcW w:type="dxa" w:w="1218"/>
            <w:vAlign w:val="center"/>
          </w:tcPr>
          <w:p>
            <w:pPr>
              <w:jc w:val="center"/>
            </w:pPr>
            <w:r/>
            <w:r>
              <w:rPr>
                <w:sz w:val="20"/>
              </w:rPr>
              <w:t>Autumn (Oct–Nov)</w:t>
            </w:r>
          </w:p>
        </w:tc>
        <w:tc>
          <w:tcPr>
            <w:tcW w:type="dxa" w:w="1218"/>
            <w:vAlign w:val="center"/>
          </w:tcPr>
          <w:p>
            <w:pPr>
              <w:jc w:val="center"/>
            </w:pPr>
            <w:r/>
            <w:r>
              <w:rPr>
                <w:sz w:val="20"/>
              </w:rPr>
              <w:t>15.1</w:t>
            </w:r>
          </w:p>
        </w:tc>
        <w:tc>
          <w:tcPr>
            <w:tcW w:type="dxa" w:w="1218"/>
            <w:vAlign w:val="center"/>
          </w:tcPr>
          <w:p>
            <w:pPr>
              <w:jc w:val="center"/>
            </w:pPr>
            <w:r/>
            <w:r>
              <w:rPr>
                <w:sz w:val="20"/>
              </w:rPr>
              <w:t>16.93</w:t>
            </w:r>
          </w:p>
        </w:tc>
        <w:tc>
          <w:tcPr>
            <w:tcW w:type="dxa" w:w="1218"/>
            <w:vAlign w:val="center"/>
          </w:tcPr>
          <w:p>
            <w:pPr>
              <w:jc w:val="center"/>
            </w:pPr>
            <w:r/>
            <w:r>
              <w:rPr>
                <w:sz w:val="20"/>
              </w:rPr>
              <w:t>0.500</w:t>
            </w:r>
          </w:p>
        </w:tc>
        <w:tc>
          <w:tcPr>
            <w:tcW w:type="dxa" w:w="1218"/>
            <w:vAlign w:val="center"/>
          </w:tcPr>
          <w:p>
            <w:pPr>
              <w:jc w:val="center"/>
            </w:pPr>
            <w:r/>
            <w:r>
              <w:rPr>
                <w:sz w:val="20"/>
              </w:rPr>
              <w:t>9.25</w:t>
            </w:r>
          </w:p>
        </w:tc>
        <w:tc>
          <w:tcPr>
            <w:tcW w:type="dxa" w:w="1218"/>
            <w:vAlign w:val="center"/>
          </w:tcPr>
          <w:p>
            <w:pPr>
              <w:jc w:val="center"/>
            </w:pPr>
            <w:r/>
            <w:r>
              <w:rPr>
                <w:sz w:val="20"/>
              </w:rPr>
              <w:t>42.3</w:t>
            </w:r>
          </w:p>
        </w:tc>
        <w:tc>
          <w:tcPr>
            <w:tcW w:type="dxa" w:w="1218"/>
            <w:vAlign w:val="center"/>
          </w:tcPr>
          <w:p>
            <w:pPr>
              <w:jc w:val="center"/>
            </w:pPr>
            <w:r/>
            <w:r>
              <w:rPr>
                <w:sz w:val="20"/>
              </w:rPr>
              <w:t>4.59</w:t>
            </w:r>
          </w:p>
        </w:tc>
      </w:tr>
      <w:tr>
        <w:tc>
          <w:tcPr>
            <w:tcW w:type="dxa" w:w="1218"/>
            <w:vAlign w:val="center"/>
          </w:tcPr>
          <w:p>
            <w:pPr>
              <w:jc w:val="left"/>
            </w:pPr>
            <w:r/>
            <w:r>
              <w:rPr>
                <w:b/>
                <w:sz w:val="20"/>
              </w:rPr>
              <w:t>Kathmandu</w:t>
            </w:r>
          </w:p>
        </w:tc>
        <w:tc>
          <w:tcPr>
            <w:tcW w:type="dxa" w:w="1218"/>
            <w:vAlign w:val="center"/>
          </w:tcPr>
          <w:p>
            <w:pPr>
              <w:jc w:val="center"/>
            </w:pPr>
            <w:r/>
            <w:r>
              <w:rPr>
                <w:sz w:val="20"/>
              </w:rPr>
              <w:t>Winter (Dec–Jan)</w:t>
            </w:r>
          </w:p>
        </w:tc>
        <w:tc>
          <w:tcPr>
            <w:tcW w:type="dxa" w:w="1218"/>
            <w:vAlign w:val="center"/>
          </w:tcPr>
          <w:p>
            <w:pPr>
              <w:jc w:val="center"/>
            </w:pPr>
            <w:r/>
            <w:r>
              <w:rPr>
                <w:sz w:val="20"/>
              </w:rPr>
              <w:t>9.6</w:t>
            </w:r>
          </w:p>
        </w:tc>
        <w:tc>
          <w:tcPr>
            <w:tcW w:type="dxa" w:w="1218"/>
            <w:vAlign w:val="center"/>
          </w:tcPr>
          <w:p>
            <w:pPr>
              <w:jc w:val="center"/>
            </w:pPr>
            <w:r/>
            <w:r>
              <w:rPr>
                <w:sz w:val="20"/>
              </w:rPr>
              <w:t>13.40</w:t>
            </w:r>
          </w:p>
        </w:tc>
        <w:tc>
          <w:tcPr>
            <w:tcW w:type="dxa" w:w="1218"/>
            <w:vAlign w:val="center"/>
          </w:tcPr>
          <w:p>
            <w:pPr>
              <w:jc w:val="center"/>
            </w:pPr>
            <w:r/>
            <w:r>
              <w:rPr>
                <w:sz w:val="20"/>
              </w:rPr>
              <w:t>0.588</w:t>
            </w:r>
          </w:p>
        </w:tc>
        <w:tc>
          <w:tcPr>
            <w:tcW w:type="dxa" w:w="1218"/>
            <w:vAlign w:val="center"/>
          </w:tcPr>
          <w:p>
            <w:pPr>
              <w:jc w:val="center"/>
            </w:pPr>
            <w:r/>
            <w:r>
              <w:rPr>
                <w:sz w:val="20"/>
              </w:rPr>
              <w:t>11.05</w:t>
            </w:r>
          </w:p>
        </w:tc>
        <w:tc>
          <w:tcPr>
            <w:tcW w:type="dxa" w:w="1218"/>
            <w:vAlign w:val="center"/>
          </w:tcPr>
          <w:p>
            <w:pPr>
              <w:jc w:val="center"/>
            </w:pPr>
            <w:r/>
            <w:r>
              <w:rPr>
                <w:sz w:val="20"/>
              </w:rPr>
              <w:t>42.8</w:t>
            </w:r>
          </w:p>
        </w:tc>
        <w:tc>
          <w:tcPr>
            <w:tcW w:type="dxa" w:w="1218"/>
            <w:vAlign w:val="center"/>
          </w:tcPr>
          <w:p>
            <w:pPr>
              <w:jc w:val="center"/>
            </w:pPr>
            <w:r/>
            <w:r>
              <w:rPr>
                <w:sz w:val="20"/>
              </w:rPr>
              <w:t>3.89</w:t>
            </w:r>
          </w:p>
        </w:tc>
      </w:tr>
      <w:tr>
        <w:tc>
          <w:tcPr>
            <w:tcW w:type="dxa" w:w="1218"/>
            <w:vAlign w:val="center"/>
          </w:tcPr>
          <w:p>
            <w:pPr>
              <w:jc w:val="left"/>
            </w:pPr>
            <w:r/>
            <w:r>
              <w:rPr>
                <w:b/>
                <w:sz w:val="20"/>
              </w:rPr>
              <w:t>Kathmandu</w:t>
            </w:r>
          </w:p>
        </w:tc>
        <w:tc>
          <w:tcPr>
            <w:tcW w:type="dxa" w:w="1218"/>
            <w:vAlign w:val="center"/>
          </w:tcPr>
          <w:p>
            <w:pPr>
              <w:jc w:val="center"/>
            </w:pPr>
            <w:r/>
            <w:r>
              <w:rPr>
                <w:sz w:val="20"/>
              </w:rPr>
              <w:t>Spring (Mar–Apr)</w:t>
            </w:r>
          </w:p>
        </w:tc>
        <w:tc>
          <w:tcPr>
            <w:tcW w:type="dxa" w:w="1218"/>
            <w:vAlign w:val="center"/>
          </w:tcPr>
          <w:p>
            <w:pPr>
              <w:jc w:val="center"/>
            </w:pPr>
            <w:r/>
            <w:r>
              <w:rPr>
                <w:sz w:val="20"/>
              </w:rPr>
              <w:t>15.5</w:t>
            </w:r>
          </w:p>
        </w:tc>
        <w:tc>
          <w:tcPr>
            <w:tcW w:type="dxa" w:w="1218"/>
            <w:vAlign w:val="center"/>
          </w:tcPr>
          <w:p>
            <w:pPr>
              <w:jc w:val="center"/>
            </w:pPr>
            <w:r/>
            <w:r>
              <w:rPr>
                <w:sz w:val="20"/>
              </w:rPr>
              <w:t>13.37</w:t>
            </w:r>
          </w:p>
        </w:tc>
        <w:tc>
          <w:tcPr>
            <w:tcW w:type="dxa" w:w="1218"/>
            <w:vAlign w:val="center"/>
          </w:tcPr>
          <w:p>
            <w:pPr>
              <w:jc w:val="center"/>
            </w:pPr>
            <w:r/>
            <w:r>
              <w:rPr>
                <w:sz w:val="20"/>
              </w:rPr>
              <w:t>0.487</w:t>
            </w:r>
          </w:p>
        </w:tc>
        <w:tc>
          <w:tcPr>
            <w:tcW w:type="dxa" w:w="1218"/>
            <w:vAlign w:val="center"/>
          </w:tcPr>
          <w:p>
            <w:pPr>
              <w:jc w:val="center"/>
            </w:pPr>
            <w:r/>
            <w:r>
              <w:rPr>
                <w:sz w:val="20"/>
              </w:rPr>
              <w:t>9.10</w:t>
            </w:r>
          </w:p>
        </w:tc>
        <w:tc>
          <w:tcPr>
            <w:tcW w:type="dxa" w:w="1218"/>
            <w:vAlign w:val="center"/>
          </w:tcPr>
          <w:p>
            <w:pPr>
              <w:jc w:val="center"/>
            </w:pPr>
            <w:r/>
            <w:r>
              <w:rPr>
                <w:sz w:val="20"/>
              </w:rPr>
              <w:t>38.0</w:t>
            </w:r>
          </w:p>
        </w:tc>
        <w:tc>
          <w:tcPr>
            <w:tcW w:type="dxa" w:w="1218"/>
            <w:vAlign w:val="center"/>
          </w:tcPr>
          <w:p>
            <w:pPr>
              <w:jc w:val="center"/>
            </w:pPr>
            <w:r/>
            <w:r>
              <w:rPr>
                <w:sz w:val="20"/>
              </w:rPr>
              <w:t>4.21</w:t>
            </w:r>
          </w:p>
        </w:tc>
      </w:tr>
      <w:tr>
        <w:tc>
          <w:tcPr>
            <w:tcW w:type="dxa" w:w="1218"/>
            <w:vAlign w:val="center"/>
          </w:tcPr>
          <w:p>
            <w:pPr>
              <w:jc w:val="left"/>
            </w:pPr>
            <w:r/>
            <w:r>
              <w:rPr>
                <w:b/>
                <w:sz w:val="20"/>
              </w:rPr>
              <w:t>Biratnagar</w:t>
            </w:r>
          </w:p>
        </w:tc>
        <w:tc>
          <w:tcPr>
            <w:tcW w:type="dxa" w:w="1218"/>
            <w:vAlign w:val="center"/>
          </w:tcPr>
          <w:p>
            <w:pPr>
              <w:jc w:val="center"/>
            </w:pPr>
            <w:r/>
            <w:r>
              <w:rPr>
                <w:sz w:val="20"/>
              </w:rPr>
              <w:t>Annual TMY</w:t>
            </w:r>
          </w:p>
        </w:tc>
        <w:tc>
          <w:tcPr>
            <w:tcW w:type="dxa" w:w="1218"/>
            <w:vAlign w:val="center"/>
          </w:tcPr>
          <w:p>
            <w:pPr>
              <w:jc w:val="center"/>
            </w:pPr>
            <w:r/>
            <w:r>
              <w:rPr>
                <w:sz w:val="20"/>
              </w:rPr>
              <w:t>24.4</w:t>
            </w:r>
          </w:p>
        </w:tc>
        <w:tc>
          <w:tcPr>
            <w:tcW w:type="dxa" w:w="1218"/>
            <w:vAlign w:val="center"/>
          </w:tcPr>
          <w:p>
            <w:pPr>
              <w:jc w:val="center"/>
            </w:pPr>
            <w:r/>
            <w:r>
              <w:rPr>
                <w:sz w:val="20"/>
              </w:rPr>
              <w:t>14.45</w:t>
            </w:r>
          </w:p>
        </w:tc>
        <w:tc>
          <w:tcPr>
            <w:tcW w:type="dxa" w:w="1218"/>
            <w:vAlign w:val="center"/>
          </w:tcPr>
          <w:p>
            <w:pPr>
              <w:jc w:val="center"/>
            </w:pPr>
            <w:r/>
            <w:r>
              <w:rPr>
                <w:sz w:val="20"/>
              </w:rPr>
              <w:t>0.543</w:t>
            </w:r>
          </w:p>
        </w:tc>
        <w:tc>
          <w:tcPr>
            <w:tcW w:type="dxa" w:w="1218"/>
            <w:vAlign w:val="center"/>
          </w:tcPr>
          <w:p>
            <w:pPr>
              <w:jc w:val="center"/>
            </w:pPr>
            <w:r/>
            <w:r>
              <w:rPr>
                <w:sz w:val="20"/>
              </w:rPr>
              <w:t>10.13</w:t>
            </w:r>
          </w:p>
        </w:tc>
        <w:tc>
          <w:tcPr>
            <w:tcW w:type="dxa" w:w="1218"/>
            <w:vAlign w:val="center"/>
          </w:tcPr>
          <w:p>
            <w:pPr>
              <w:jc w:val="center"/>
            </w:pPr>
            <w:r/>
            <w:r>
              <w:rPr>
                <w:sz w:val="20"/>
              </w:rPr>
              <w:t>44.4</w:t>
            </w:r>
          </w:p>
        </w:tc>
        <w:tc>
          <w:tcPr>
            <w:tcW w:type="dxa" w:w="1218"/>
            <w:vAlign w:val="center"/>
          </w:tcPr>
          <w:p>
            <w:pPr>
              <w:jc w:val="center"/>
            </w:pPr>
            <w:r/>
            <w:r>
              <w:rPr>
                <w:sz w:val="20"/>
              </w:rPr>
              <w:t>4.43</w:t>
            </w:r>
          </w:p>
        </w:tc>
      </w:tr>
      <w:tr>
        <w:tc>
          <w:tcPr>
            <w:tcW w:type="dxa" w:w="1218"/>
            <w:vAlign w:val="center"/>
          </w:tcPr>
          <w:p>
            <w:pPr>
              <w:jc w:val="left"/>
            </w:pPr>
            <w:r/>
            <w:r>
              <w:rPr>
                <w:b/>
                <w:sz w:val="20"/>
              </w:rPr>
              <w:t>Biratnagar</w:t>
            </w:r>
          </w:p>
        </w:tc>
        <w:tc>
          <w:tcPr>
            <w:tcW w:type="dxa" w:w="1218"/>
            <w:vAlign w:val="center"/>
          </w:tcPr>
          <w:p>
            <w:pPr>
              <w:jc w:val="center"/>
            </w:pPr>
            <w:r/>
            <w:r>
              <w:rPr>
                <w:sz w:val="20"/>
              </w:rPr>
              <w:t>Autumn (Oct–Nov)</w:t>
            </w:r>
          </w:p>
        </w:tc>
        <w:tc>
          <w:tcPr>
            <w:tcW w:type="dxa" w:w="1218"/>
            <w:vAlign w:val="center"/>
          </w:tcPr>
          <w:p>
            <w:pPr>
              <w:jc w:val="center"/>
            </w:pPr>
            <w:r/>
            <w:r>
              <w:rPr>
                <w:sz w:val="20"/>
              </w:rPr>
              <w:t>23.4</w:t>
            </w:r>
          </w:p>
        </w:tc>
        <w:tc>
          <w:tcPr>
            <w:tcW w:type="dxa" w:w="1218"/>
            <w:vAlign w:val="center"/>
          </w:tcPr>
          <w:p>
            <w:pPr>
              <w:jc w:val="center"/>
            </w:pPr>
            <w:r/>
            <w:r>
              <w:rPr>
                <w:sz w:val="20"/>
              </w:rPr>
              <w:t>20.03</w:t>
            </w:r>
          </w:p>
        </w:tc>
        <w:tc>
          <w:tcPr>
            <w:tcW w:type="dxa" w:w="1218"/>
            <w:vAlign w:val="center"/>
          </w:tcPr>
          <w:p>
            <w:pPr>
              <w:jc w:val="center"/>
            </w:pPr>
            <w:r/>
            <w:r>
              <w:rPr>
                <w:sz w:val="20"/>
              </w:rPr>
              <w:t>0.435</w:t>
            </w:r>
          </w:p>
        </w:tc>
        <w:tc>
          <w:tcPr>
            <w:tcW w:type="dxa" w:w="1218"/>
            <w:vAlign w:val="center"/>
          </w:tcPr>
          <w:p>
            <w:pPr>
              <w:jc w:val="center"/>
            </w:pPr>
            <w:r/>
            <w:r>
              <w:rPr>
                <w:sz w:val="20"/>
              </w:rPr>
              <w:t>7.88</w:t>
            </w:r>
          </w:p>
        </w:tc>
        <w:tc>
          <w:tcPr>
            <w:tcW w:type="dxa" w:w="1218"/>
            <w:vAlign w:val="center"/>
          </w:tcPr>
          <w:p>
            <w:pPr>
              <w:jc w:val="center"/>
            </w:pPr>
            <w:r/>
            <w:r>
              <w:rPr>
                <w:sz w:val="20"/>
              </w:rPr>
              <w:t>42.9</w:t>
            </w:r>
          </w:p>
        </w:tc>
        <w:tc>
          <w:tcPr>
            <w:tcW w:type="dxa" w:w="1218"/>
            <w:vAlign w:val="center"/>
          </w:tcPr>
          <w:p>
            <w:pPr>
              <w:jc w:val="center"/>
            </w:pPr>
            <w:r/>
            <w:r>
              <w:rPr>
                <w:sz w:val="20"/>
              </w:rPr>
              <w:t>5.48</w:t>
            </w:r>
          </w:p>
        </w:tc>
      </w:tr>
      <w:tr>
        <w:tc>
          <w:tcPr>
            <w:tcW w:type="dxa" w:w="1218"/>
            <w:vAlign w:val="center"/>
          </w:tcPr>
          <w:p>
            <w:pPr>
              <w:jc w:val="left"/>
            </w:pPr>
            <w:r/>
            <w:r>
              <w:rPr>
                <w:b/>
                <w:sz w:val="20"/>
              </w:rPr>
              <w:t>Biratnagar</w:t>
            </w:r>
          </w:p>
        </w:tc>
        <w:tc>
          <w:tcPr>
            <w:tcW w:type="dxa" w:w="1218"/>
            <w:vAlign w:val="center"/>
          </w:tcPr>
          <w:p>
            <w:pPr>
              <w:jc w:val="center"/>
            </w:pPr>
            <w:r/>
            <w:r>
              <w:rPr>
                <w:sz w:val="20"/>
              </w:rPr>
              <w:t>Winter (Dec–Jan)</w:t>
            </w:r>
          </w:p>
        </w:tc>
        <w:tc>
          <w:tcPr>
            <w:tcW w:type="dxa" w:w="1218"/>
            <w:vAlign w:val="center"/>
          </w:tcPr>
          <w:p>
            <w:pPr>
              <w:jc w:val="center"/>
            </w:pPr>
            <w:r/>
            <w:r>
              <w:rPr>
                <w:sz w:val="20"/>
              </w:rPr>
              <w:t>17.7</w:t>
            </w:r>
          </w:p>
        </w:tc>
        <w:tc>
          <w:tcPr>
            <w:tcW w:type="dxa" w:w="1218"/>
            <w:vAlign w:val="center"/>
          </w:tcPr>
          <w:p>
            <w:pPr>
              <w:jc w:val="center"/>
            </w:pPr>
            <w:r/>
            <w:r>
              <w:rPr>
                <w:sz w:val="20"/>
              </w:rPr>
              <w:t>15.45</w:t>
            </w:r>
          </w:p>
        </w:tc>
        <w:tc>
          <w:tcPr>
            <w:tcW w:type="dxa" w:w="1218"/>
            <w:vAlign w:val="center"/>
          </w:tcPr>
          <w:p>
            <w:pPr>
              <w:jc w:val="center"/>
            </w:pPr>
            <w:r/>
            <w:r>
              <w:rPr>
                <w:sz w:val="20"/>
              </w:rPr>
              <w:t>0.427</w:t>
            </w:r>
          </w:p>
        </w:tc>
        <w:tc>
          <w:tcPr>
            <w:tcW w:type="dxa" w:w="1218"/>
            <w:vAlign w:val="center"/>
          </w:tcPr>
          <w:p>
            <w:pPr>
              <w:jc w:val="center"/>
            </w:pPr>
            <w:r/>
            <w:r>
              <w:rPr>
                <w:sz w:val="20"/>
              </w:rPr>
              <w:t>7.86</w:t>
            </w:r>
          </w:p>
        </w:tc>
        <w:tc>
          <w:tcPr>
            <w:tcW w:type="dxa" w:w="1218"/>
            <w:vAlign w:val="center"/>
          </w:tcPr>
          <w:p>
            <w:pPr>
              <w:jc w:val="center"/>
            </w:pPr>
            <w:r/>
            <w:r>
              <w:rPr>
                <w:sz w:val="20"/>
              </w:rPr>
              <w:t>38.9</w:t>
            </w:r>
          </w:p>
        </w:tc>
        <w:tc>
          <w:tcPr>
            <w:tcW w:type="dxa" w:w="1218"/>
            <w:vAlign w:val="center"/>
          </w:tcPr>
          <w:p>
            <w:pPr>
              <w:jc w:val="center"/>
            </w:pPr>
            <w:r/>
            <w:r>
              <w:rPr>
                <w:sz w:val="20"/>
              </w:rPr>
              <w:t>4.99</w:t>
            </w:r>
          </w:p>
        </w:tc>
      </w:tr>
      <w:tr>
        <w:tc>
          <w:tcPr>
            <w:tcW w:type="dxa" w:w="1218"/>
            <w:vAlign w:val="center"/>
          </w:tcPr>
          <w:p>
            <w:pPr>
              <w:jc w:val="left"/>
            </w:pPr>
            <w:r/>
            <w:r>
              <w:rPr>
                <w:b/>
                <w:sz w:val="20"/>
              </w:rPr>
              <w:t>Biratnagar</w:t>
            </w:r>
          </w:p>
        </w:tc>
        <w:tc>
          <w:tcPr>
            <w:tcW w:type="dxa" w:w="1218"/>
            <w:vAlign w:val="center"/>
          </w:tcPr>
          <w:p>
            <w:pPr>
              <w:jc w:val="center"/>
            </w:pPr>
            <w:r/>
            <w:r>
              <w:rPr>
                <w:sz w:val="20"/>
              </w:rPr>
              <w:t>Spring (Mar–Apr)</w:t>
            </w:r>
          </w:p>
        </w:tc>
        <w:tc>
          <w:tcPr>
            <w:tcW w:type="dxa" w:w="1218"/>
            <w:vAlign w:val="center"/>
          </w:tcPr>
          <w:p>
            <w:pPr>
              <w:jc w:val="center"/>
            </w:pPr>
            <w:r/>
            <w:r>
              <w:rPr>
                <w:sz w:val="20"/>
              </w:rPr>
              <w:t>26.2</w:t>
            </w:r>
          </w:p>
        </w:tc>
        <w:tc>
          <w:tcPr>
            <w:tcW w:type="dxa" w:w="1218"/>
            <w:vAlign w:val="center"/>
          </w:tcPr>
          <w:p>
            <w:pPr>
              <w:jc w:val="center"/>
            </w:pPr>
            <w:r/>
            <w:r>
              <w:rPr>
                <w:sz w:val="20"/>
              </w:rPr>
              <w:t>13.53</w:t>
            </w:r>
          </w:p>
        </w:tc>
        <w:tc>
          <w:tcPr>
            <w:tcW w:type="dxa" w:w="1218"/>
            <w:vAlign w:val="center"/>
          </w:tcPr>
          <w:p>
            <w:pPr>
              <w:jc w:val="center"/>
            </w:pPr>
            <w:r/>
            <w:r>
              <w:rPr>
                <w:sz w:val="20"/>
              </w:rPr>
              <w:t>0.367</w:t>
            </w:r>
          </w:p>
        </w:tc>
        <w:tc>
          <w:tcPr>
            <w:tcW w:type="dxa" w:w="1218"/>
            <w:vAlign w:val="center"/>
          </w:tcPr>
          <w:p>
            <w:pPr>
              <w:jc w:val="center"/>
            </w:pPr>
            <w:r/>
            <w:r>
              <w:rPr>
                <w:sz w:val="20"/>
              </w:rPr>
              <w:t>6.76</w:t>
            </w:r>
          </w:p>
        </w:tc>
        <w:tc>
          <w:tcPr>
            <w:tcW w:type="dxa" w:w="1218"/>
            <w:vAlign w:val="center"/>
          </w:tcPr>
          <w:p>
            <w:pPr>
              <w:jc w:val="center"/>
            </w:pPr>
            <w:r/>
            <w:r>
              <w:rPr>
                <w:sz w:val="20"/>
              </w:rPr>
              <w:t>33.5</w:t>
            </w:r>
          </w:p>
        </w:tc>
        <w:tc>
          <w:tcPr>
            <w:tcW w:type="dxa" w:w="1218"/>
            <w:vAlign w:val="center"/>
          </w:tcPr>
          <w:p>
            <w:pPr>
              <w:jc w:val="center"/>
            </w:pPr>
            <w:r/>
            <w:r>
              <w:rPr>
                <w:sz w:val="20"/>
              </w:rPr>
              <w:t>5.04</w:t>
            </w:r>
          </w:p>
        </w:tc>
      </w:tr>
      <w:tr>
        <w:tc>
          <w:tcPr>
            <w:tcW w:type="dxa" w:w="1218"/>
            <w:vAlign w:val="center"/>
          </w:tcPr>
          <w:p>
            <w:pPr>
              <w:jc w:val="left"/>
            </w:pPr>
            <w:r/>
            <w:r>
              <w:rPr>
                <w:b/>
                <w:sz w:val="20"/>
              </w:rPr>
              <w:t>Taplejung</w:t>
            </w:r>
          </w:p>
        </w:tc>
        <w:tc>
          <w:tcPr>
            <w:tcW w:type="dxa" w:w="1218"/>
            <w:vAlign w:val="center"/>
          </w:tcPr>
          <w:p>
            <w:pPr>
              <w:jc w:val="center"/>
            </w:pPr>
            <w:r/>
            <w:r>
              <w:rPr>
                <w:sz w:val="20"/>
              </w:rPr>
              <w:t>Annual TMY</w:t>
            </w:r>
          </w:p>
        </w:tc>
        <w:tc>
          <w:tcPr>
            <w:tcW w:type="dxa" w:w="1218"/>
            <w:vAlign w:val="center"/>
          </w:tcPr>
          <w:p>
            <w:pPr>
              <w:jc w:val="center"/>
            </w:pPr>
            <w:r/>
            <w:r>
              <w:rPr>
                <w:sz w:val="20"/>
              </w:rPr>
              <w:t>16.8</w:t>
            </w:r>
          </w:p>
        </w:tc>
        <w:tc>
          <w:tcPr>
            <w:tcW w:type="dxa" w:w="1218"/>
            <w:vAlign w:val="center"/>
          </w:tcPr>
          <w:p>
            <w:pPr>
              <w:jc w:val="center"/>
            </w:pPr>
            <w:r/>
            <w:r>
              <w:rPr>
                <w:sz w:val="20"/>
              </w:rPr>
              <w:t>13.97</w:t>
            </w:r>
          </w:p>
        </w:tc>
        <w:tc>
          <w:tcPr>
            <w:tcW w:type="dxa" w:w="1218"/>
            <w:vAlign w:val="center"/>
          </w:tcPr>
          <w:p>
            <w:pPr>
              <w:jc w:val="center"/>
            </w:pPr>
            <w:r/>
            <w:r>
              <w:rPr>
                <w:sz w:val="20"/>
              </w:rPr>
              <w:t>0.566</w:t>
            </w:r>
          </w:p>
        </w:tc>
        <w:tc>
          <w:tcPr>
            <w:tcW w:type="dxa" w:w="1218"/>
            <w:vAlign w:val="center"/>
          </w:tcPr>
          <w:p>
            <w:pPr>
              <w:jc w:val="center"/>
            </w:pPr>
            <w:r/>
            <w:r>
              <w:rPr>
                <w:sz w:val="20"/>
              </w:rPr>
              <w:t>10.61</w:t>
            </w:r>
          </w:p>
        </w:tc>
        <w:tc>
          <w:tcPr>
            <w:tcW w:type="dxa" w:w="1218"/>
            <w:vAlign w:val="center"/>
          </w:tcPr>
          <w:p>
            <w:pPr>
              <w:jc w:val="center"/>
            </w:pPr>
            <w:r/>
            <w:r>
              <w:rPr>
                <w:sz w:val="20"/>
              </w:rPr>
              <w:t>41.6</w:t>
            </w:r>
          </w:p>
        </w:tc>
        <w:tc>
          <w:tcPr>
            <w:tcW w:type="dxa" w:w="1218"/>
            <w:vAlign w:val="center"/>
          </w:tcPr>
          <w:p>
            <w:pPr>
              <w:jc w:val="center"/>
            </w:pPr>
            <w:r/>
            <w:r>
              <w:rPr>
                <w:sz w:val="20"/>
              </w:rPr>
              <w:t>3.92</w:t>
            </w:r>
          </w:p>
        </w:tc>
      </w:tr>
      <w:tr>
        <w:tc>
          <w:tcPr>
            <w:tcW w:type="dxa" w:w="1218"/>
            <w:vAlign w:val="center"/>
          </w:tcPr>
          <w:p>
            <w:pPr>
              <w:jc w:val="left"/>
            </w:pPr>
            <w:r/>
            <w:r>
              <w:rPr>
                <w:b/>
                <w:sz w:val="20"/>
              </w:rPr>
              <w:t>Taplejung</w:t>
            </w:r>
          </w:p>
        </w:tc>
        <w:tc>
          <w:tcPr>
            <w:tcW w:type="dxa" w:w="1218"/>
            <w:vAlign w:val="center"/>
          </w:tcPr>
          <w:p>
            <w:pPr>
              <w:jc w:val="center"/>
            </w:pPr>
            <w:r/>
            <w:r>
              <w:rPr>
                <w:sz w:val="20"/>
              </w:rPr>
              <w:t>Autumn (Oct–Nov)</w:t>
            </w:r>
          </w:p>
        </w:tc>
        <w:tc>
          <w:tcPr>
            <w:tcW w:type="dxa" w:w="1218"/>
            <w:vAlign w:val="center"/>
          </w:tcPr>
          <w:p>
            <w:pPr>
              <w:jc w:val="center"/>
            </w:pPr>
            <w:r/>
            <w:r>
              <w:rPr>
                <w:sz w:val="20"/>
              </w:rPr>
              <w:t>16.0</w:t>
            </w:r>
          </w:p>
        </w:tc>
        <w:tc>
          <w:tcPr>
            <w:tcW w:type="dxa" w:w="1218"/>
            <w:vAlign w:val="center"/>
          </w:tcPr>
          <w:p>
            <w:pPr>
              <w:jc w:val="center"/>
            </w:pPr>
            <w:r/>
            <w:r>
              <w:rPr>
                <w:sz w:val="20"/>
              </w:rPr>
              <w:t>17.07</w:t>
            </w:r>
          </w:p>
        </w:tc>
        <w:tc>
          <w:tcPr>
            <w:tcW w:type="dxa" w:w="1218"/>
            <w:vAlign w:val="center"/>
          </w:tcPr>
          <w:p>
            <w:pPr>
              <w:jc w:val="center"/>
            </w:pPr>
            <w:r/>
            <w:r>
              <w:rPr>
                <w:sz w:val="20"/>
              </w:rPr>
              <w:t>0.457</w:t>
            </w:r>
          </w:p>
        </w:tc>
        <w:tc>
          <w:tcPr>
            <w:tcW w:type="dxa" w:w="1218"/>
            <w:vAlign w:val="center"/>
          </w:tcPr>
          <w:p>
            <w:pPr>
              <w:jc w:val="center"/>
            </w:pPr>
            <w:r/>
            <w:r>
              <w:rPr>
                <w:sz w:val="20"/>
              </w:rPr>
              <w:t>8.40</w:t>
            </w:r>
          </w:p>
        </w:tc>
        <w:tc>
          <w:tcPr>
            <w:tcW w:type="dxa" w:w="1218"/>
            <w:vAlign w:val="center"/>
          </w:tcPr>
          <w:p>
            <w:pPr>
              <w:jc w:val="center"/>
            </w:pPr>
            <w:r/>
            <w:r>
              <w:rPr>
                <w:sz w:val="20"/>
              </w:rPr>
              <w:t>39.1</w:t>
            </w:r>
          </w:p>
        </w:tc>
        <w:tc>
          <w:tcPr>
            <w:tcW w:type="dxa" w:w="1218"/>
            <w:vAlign w:val="center"/>
          </w:tcPr>
          <w:p>
            <w:pPr>
              <w:jc w:val="center"/>
            </w:pPr>
            <w:r/>
            <w:r>
              <w:rPr>
                <w:sz w:val="20"/>
              </w:rPr>
              <w:t>4.67</w:t>
            </w:r>
          </w:p>
        </w:tc>
      </w:tr>
      <w:tr>
        <w:tc>
          <w:tcPr>
            <w:tcW w:type="dxa" w:w="1218"/>
            <w:vAlign w:val="center"/>
          </w:tcPr>
          <w:p>
            <w:pPr>
              <w:jc w:val="left"/>
            </w:pPr>
            <w:r/>
            <w:r>
              <w:rPr>
                <w:b/>
                <w:sz w:val="20"/>
              </w:rPr>
              <w:t>Taplejung</w:t>
            </w:r>
          </w:p>
        </w:tc>
        <w:tc>
          <w:tcPr>
            <w:tcW w:type="dxa" w:w="1218"/>
            <w:vAlign w:val="center"/>
          </w:tcPr>
          <w:p>
            <w:pPr>
              <w:jc w:val="center"/>
            </w:pPr>
            <w:r/>
            <w:r>
              <w:rPr>
                <w:sz w:val="20"/>
              </w:rPr>
              <w:t>Winter (Dec–Jan)</w:t>
            </w:r>
          </w:p>
        </w:tc>
        <w:tc>
          <w:tcPr>
            <w:tcW w:type="dxa" w:w="1218"/>
            <w:vAlign w:val="center"/>
          </w:tcPr>
          <w:p>
            <w:pPr>
              <w:jc w:val="center"/>
            </w:pPr>
            <w:r/>
            <w:r>
              <w:rPr>
                <w:sz w:val="20"/>
              </w:rPr>
              <w:t>10.3</w:t>
            </w:r>
          </w:p>
        </w:tc>
        <w:tc>
          <w:tcPr>
            <w:tcW w:type="dxa" w:w="1218"/>
            <w:vAlign w:val="center"/>
          </w:tcPr>
          <w:p>
            <w:pPr>
              <w:jc w:val="center"/>
            </w:pPr>
            <w:r/>
            <w:r>
              <w:rPr>
                <w:sz w:val="20"/>
              </w:rPr>
              <w:t>14.80</w:t>
            </w:r>
          </w:p>
        </w:tc>
        <w:tc>
          <w:tcPr>
            <w:tcW w:type="dxa" w:w="1218"/>
            <w:vAlign w:val="center"/>
          </w:tcPr>
          <w:p>
            <w:pPr>
              <w:jc w:val="center"/>
            </w:pPr>
            <w:r/>
            <w:r>
              <w:rPr>
                <w:sz w:val="20"/>
              </w:rPr>
              <w:t>0.622</w:t>
            </w:r>
          </w:p>
        </w:tc>
        <w:tc>
          <w:tcPr>
            <w:tcW w:type="dxa" w:w="1218"/>
            <w:vAlign w:val="center"/>
          </w:tcPr>
          <w:p>
            <w:pPr>
              <w:jc w:val="center"/>
            </w:pPr>
            <w:r/>
            <w:r>
              <w:rPr>
                <w:sz w:val="20"/>
              </w:rPr>
              <w:t>11.67</w:t>
            </w:r>
          </w:p>
        </w:tc>
        <w:tc>
          <w:tcPr>
            <w:tcW w:type="dxa" w:w="1218"/>
            <w:vAlign w:val="center"/>
          </w:tcPr>
          <w:p>
            <w:pPr>
              <w:jc w:val="center"/>
            </w:pPr>
            <w:r/>
            <w:r>
              <w:rPr>
                <w:sz w:val="20"/>
              </w:rPr>
              <w:t>45.1</w:t>
            </w:r>
          </w:p>
        </w:tc>
        <w:tc>
          <w:tcPr>
            <w:tcW w:type="dxa" w:w="1218"/>
            <w:vAlign w:val="center"/>
          </w:tcPr>
          <w:p>
            <w:pPr>
              <w:jc w:val="center"/>
            </w:pPr>
            <w:r/>
            <w:r>
              <w:rPr>
                <w:sz w:val="20"/>
              </w:rPr>
              <w:t>3.87</w:t>
            </w:r>
          </w:p>
        </w:tc>
      </w:tr>
      <w:tr>
        <w:tc>
          <w:tcPr>
            <w:tcW w:type="dxa" w:w="1218"/>
            <w:vAlign w:val="center"/>
          </w:tcPr>
          <w:p>
            <w:pPr>
              <w:jc w:val="left"/>
            </w:pPr>
            <w:r/>
            <w:r>
              <w:rPr>
                <w:b/>
                <w:sz w:val="20"/>
              </w:rPr>
              <w:t>Taplejung</w:t>
            </w:r>
          </w:p>
        </w:tc>
        <w:tc>
          <w:tcPr>
            <w:tcW w:type="dxa" w:w="1218"/>
            <w:vAlign w:val="center"/>
          </w:tcPr>
          <w:p>
            <w:pPr>
              <w:jc w:val="center"/>
            </w:pPr>
            <w:r/>
            <w:r>
              <w:rPr>
                <w:sz w:val="20"/>
              </w:rPr>
              <w:t>Spring (Mar–Apr)</w:t>
            </w:r>
          </w:p>
        </w:tc>
        <w:tc>
          <w:tcPr>
            <w:tcW w:type="dxa" w:w="1218"/>
            <w:vAlign w:val="center"/>
          </w:tcPr>
          <w:p>
            <w:pPr>
              <w:jc w:val="center"/>
            </w:pPr>
            <w:r/>
            <w:r>
              <w:rPr>
                <w:sz w:val="20"/>
              </w:rPr>
              <w:t>17.2</w:t>
            </w:r>
          </w:p>
        </w:tc>
        <w:tc>
          <w:tcPr>
            <w:tcW w:type="dxa" w:w="1218"/>
            <w:vAlign w:val="center"/>
          </w:tcPr>
          <w:p>
            <w:pPr>
              <w:jc w:val="center"/>
            </w:pPr>
            <w:r/>
            <w:r>
              <w:rPr>
                <w:sz w:val="20"/>
              </w:rPr>
              <w:t>14.02</w:t>
            </w:r>
          </w:p>
        </w:tc>
        <w:tc>
          <w:tcPr>
            <w:tcW w:type="dxa" w:w="1218"/>
            <w:vAlign w:val="center"/>
          </w:tcPr>
          <w:p>
            <w:pPr>
              <w:jc w:val="center"/>
            </w:pPr>
            <w:r/>
            <w:r>
              <w:rPr>
                <w:sz w:val="20"/>
              </w:rPr>
              <w:t>0.451</w:t>
            </w:r>
          </w:p>
        </w:tc>
        <w:tc>
          <w:tcPr>
            <w:tcW w:type="dxa" w:w="1218"/>
            <w:vAlign w:val="center"/>
          </w:tcPr>
          <w:p>
            <w:pPr>
              <w:jc w:val="center"/>
            </w:pPr>
            <w:r/>
            <w:r>
              <w:rPr>
                <w:sz w:val="20"/>
              </w:rPr>
              <w:t>8.38</w:t>
            </w:r>
          </w:p>
        </w:tc>
        <w:tc>
          <w:tcPr>
            <w:tcW w:type="dxa" w:w="1218"/>
            <w:vAlign w:val="center"/>
          </w:tcPr>
          <w:p>
            <w:pPr>
              <w:jc w:val="center"/>
            </w:pPr>
            <w:r/>
            <w:r>
              <w:rPr>
                <w:sz w:val="20"/>
              </w:rPr>
              <w:t>36.0</w:t>
            </w:r>
          </w:p>
        </w:tc>
        <w:tc>
          <w:tcPr>
            <w:tcW w:type="dxa" w:w="1218"/>
            <w:vAlign w:val="center"/>
          </w:tcPr>
          <w:p>
            <w:pPr>
              <w:jc w:val="center"/>
            </w:pPr>
            <w:r/>
            <w:r>
              <w:rPr>
                <w:sz w:val="20"/>
              </w:rPr>
              <w:t>4.32</w:t>
            </w:r>
          </w:p>
        </w:tc>
      </w:tr>
    </w:tbl>
    <w:p>
      <w:pPr>
        <w:spacing w:after="80"/>
      </w:pPr>
      <w:r>
        <w:rPr>
          <w:b w:val="0"/>
          <w:i w:val="0"/>
          <w:sz w:val="22"/>
        </w:rPr>
        <w:t>The seasonal breakdown contains two findings that the annual figures obscure. First, drying time is not a pure function of chamber-inlet temperature. At Biratnagar, autumn takes 20.0 h versus 13.5 h in spring despite near-identical chamber conditions, because the 23.4 °C autumn ambient carries considerably more water than the 26.2 °C spring ambient. The humidity-sensitivity exponent α_RH = 1.75 converts this ω difference into a direct drying-rate penalty, and the same mechanism resurfaces in Sections 4 and 5 when evaluating evaporator-bypass strategies. Second, the best SEC at every site is observed in spring (0.487 at KTM, 0.367 at BTN, 0.451 at TPJ), because spring offers the most favourable combination of warm ambient (high COP) and low water content (short drying time). Autumn and winter each fail one of these criteria.</w:t>
      </w:r>
    </w:p>
    <w:p>
      <w:pPr>
        <w:pStyle w:val="Heading2"/>
      </w:pPr>
      <w:r>
        <w:rPr>
          <w:color w:val="1F2D5A"/>
        </w:rPr>
        <w:t>1.3  Effect of Recirculation</w:t>
      </w:r>
    </w:p>
    <w:p>
      <w:pPr>
        <w:spacing w:before="120" w:after="40"/>
      </w:pPr>
      <w:r>
        <w:rPr>
          <w:b/>
          <w:sz w:val="20"/>
        </w:rPr>
        <w:t>Table 3. Config A recirculation sweep at annual TMY. ΔSEC is measured against each site's own r = 0 baseline.</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vAlign w:val="center"/>
            <w:shd w:val="clear" w:color="auto" w:fill="E6ECF5"/>
          </w:tcPr>
          <w:p>
            <w:pPr>
              <w:jc w:val="center"/>
            </w:pPr>
            <w:r/>
            <w:r>
              <w:rPr>
                <w:b/>
                <w:sz w:val="20"/>
              </w:rPr>
              <w:t>Location</w:t>
            </w:r>
          </w:p>
        </w:tc>
        <w:tc>
          <w:tcPr>
            <w:tcW w:type="dxa" w:w="1218"/>
            <w:vAlign w:val="center"/>
            <w:shd w:val="clear" w:color="auto" w:fill="E6ECF5"/>
          </w:tcPr>
          <w:p>
            <w:pPr>
              <w:jc w:val="center"/>
            </w:pPr>
            <w:r/>
            <w:r>
              <w:rPr>
                <w:b/>
                <w:sz w:val="20"/>
              </w:rPr>
              <w:t>r</w:t>
            </w:r>
          </w:p>
        </w:tc>
        <w:tc>
          <w:tcPr>
            <w:tcW w:type="dxa" w:w="1218"/>
            <w:vAlign w:val="center"/>
            <w:shd w:val="clear" w:color="auto" w:fill="E6ECF5"/>
          </w:tcPr>
          <w:p>
            <w:pPr>
              <w:jc w:val="center"/>
            </w:pPr>
            <w:r/>
            <w:r>
              <w:rPr>
                <w:b/>
                <w:sz w:val="20"/>
              </w:rPr>
              <w:t>Time (h)</w:t>
            </w:r>
          </w:p>
        </w:tc>
        <w:tc>
          <w:tcPr>
            <w:tcW w:type="dxa" w:w="1218"/>
            <w:vAlign w:val="center"/>
            <w:shd w:val="clear" w:color="auto" w:fill="E6ECF5"/>
          </w:tcPr>
          <w:p>
            <w:pPr>
              <w:jc w:val="center"/>
            </w:pPr>
            <w:r/>
            <w:r>
              <w:rPr>
                <w:b/>
                <w:sz w:val="20"/>
              </w:rPr>
              <w:t>SEC (kWh/kg)</w:t>
            </w:r>
          </w:p>
        </w:tc>
        <w:tc>
          <w:tcPr>
            <w:tcW w:type="dxa" w:w="1218"/>
            <w:vAlign w:val="center"/>
            <w:shd w:val="clear" w:color="auto" w:fill="E6ECF5"/>
          </w:tcPr>
          <w:p>
            <w:pPr>
              <w:jc w:val="center"/>
            </w:pPr>
            <w:r/>
            <w:r>
              <w:rPr>
                <w:b/>
                <w:sz w:val="20"/>
              </w:rPr>
              <w:t>W_comp (kWh)</w:t>
            </w:r>
          </w:p>
        </w:tc>
        <w:tc>
          <w:tcPr>
            <w:tcW w:type="dxa" w:w="1218"/>
            <w:vAlign w:val="center"/>
            <w:shd w:val="clear" w:color="auto" w:fill="E6ECF5"/>
          </w:tcPr>
          <w:p>
            <w:pPr>
              <w:jc w:val="center"/>
            </w:pPr>
            <w:r/>
            <w:r>
              <w:rPr>
                <w:b/>
                <w:sz w:val="20"/>
              </w:rPr>
              <w:t>Q_cond (kWh)</w:t>
            </w:r>
          </w:p>
        </w:tc>
        <w:tc>
          <w:tcPr>
            <w:tcW w:type="dxa" w:w="1218"/>
            <w:vAlign w:val="center"/>
            <w:shd w:val="clear" w:color="auto" w:fill="E6ECF5"/>
          </w:tcPr>
          <w:p>
            <w:pPr>
              <w:jc w:val="center"/>
            </w:pPr>
            <w:r/>
            <w:r>
              <w:rPr>
                <w:b/>
                <w:sz w:val="20"/>
              </w:rPr>
              <w:t>COP</w:t>
            </w:r>
          </w:p>
        </w:tc>
        <w:tc>
          <w:tcPr>
            <w:tcW w:type="dxa" w:w="1218"/>
            <w:vAlign w:val="center"/>
            <w:shd w:val="clear" w:color="auto" w:fill="E6ECF5"/>
          </w:tcPr>
          <w:p>
            <w:pPr>
              <w:jc w:val="center"/>
            </w:pPr>
            <w:r/>
            <w:r>
              <w:rPr>
                <w:b/>
                <w:sz w:val="20"/>
              </w:rPr>
              <w:t>ΔSEC vs r=0 (%)</w:t>
            </w:r>
          </w:p>
        </w:tc>
      </w:tr>
      <w:tr>
        <w:tc>
          <w:tcPr>
            <w:tcW w:type="dxa" w:w="1218"/>
            <w:vAlign w:val="center"/>
          </w:tcPr>
          <w:p>
            <w:pPr>
              <w:jc w:val="left"/>
            </w:pPr>
            <w:r/>
            <w:r>
              <w:rPr>
                <w:b/>
                <w:sz w:val="20"/>
              </w:rPr>
              <w:t>Kathmandu</w:t>
            </w:r>
          </w:p>
        </w:tc>
        <w:tc>
          <w:tcPr>
            <w:tcW w:type="dxa" w:w="1218"/>
            <w:vAlign w:val="center"/>
          </w:tcPr>
          <w:p>
            <w:pPr>
              <w:jc w:val="center"/>
            </w:pPr>
            <w:r/>
            <w:r>
              <w:rPr>
                <w:sz w:val="20"/>
              </w:rPr>
              <w:t>0.0</w:t>
            </w:r>
          </w:p>
        </w:tc>
        <w:tc>
          <w:tcPr>
            <w:tcW w:type="dxa" w:w="1218"/>
            <w:vAlign w:val="center"/>
          </w:tcPr>
          <w:p>
            <w:pPr>
              <w:jc w:val="center"/>
            </w:pPr>
            <w:r/>
            <w:r>
              <w:rPr>
                <w:sz w:val="20"/>
              </w:rPr>
              <w:t>13.85</w:t>
            </w:r>
          </w:p>
        </w:tc>
        <w:tc>
          <w:tcPr>
            <w:tcW w:type="dxa" w:w="1218"/>
            <w:vAlign w:val="center"/>
          </w:tcPr>
          <w:p>
            <w:pPr>
              <w:jc w:val="center"/>
            </w:pPr>
            <w:r/>
            <w:r>
              <w:rPr>
                <w:sz w:val="20"/>
              </w:rPr>
              <w:t>0.717</w:t>
            </w:r>
          </w:p>
        </w:tc>
        <w:tc>
          <w:tcPr>
            <w:tcW w:type="dxa" w:w="1218"/>
            <w:vAlign w:val="center"/>
          </w:tcPr>
          <w:p>
            <w:pPr>
              <w:jc w:val="center"/>
            </w:pPr>
            <w:r/>
            <w:r>
              <w:rPr>
                <w:sz w:val="20"/>
              </w:rPr>
              <w:t>13.52</w:t>
            </w:r>
          </w:p>
        </w:tc>
        <w:tc>
          <w:tcPr>
            <w:tcW w:type="dxa" w:w="1218"/>
            <w:vAlign w:val="center"/>
          </w:tcPr>
          <w:p>
            <w:pPr>
              <w:jc w:val="center"/>
            </w:pPr>
            <w:r/>
            <w:r>
              <w:rPr>
                <w:sz w:val="20"/>
              </w:rPr>
              <w:t>49.0</w:t>
            </w:r>
          </w:p>
        </w:tc>
        <w:tc>
          <w:tcPr>
            <w:tcW w:type="dxa" w:w="1218"/>
            <w:vAlign w:val="center"/>
          </w:tcPr>
          <w:p>
            <w:pPr>
              <w:jc w:val="center"/>
            </w:pPr>
            <w:r/>
            <w:r>
              <w:rPr>
                <w:sz w:val="20"/>
              </w:rPr>
              <w:t>3.63</w:t>
            </w:r>
          </w:p>
        </w:tc>
        <w:tc>
          <w:tcPr>
            <w:tcW w:type="dxa" w:w="1218"/>
            <w:vAlign w:val="center"/>
          </w:tcPr>
          <w:p>
            <w:pPr>
              <w:jc w:val="center"/>
            </w:pPr>
            <w:r/>
            <w:r>
              <w:rPr>
                <w:sz w:val="20"/>
              </w:rPr>
              <w:t>+0.0</w:t>
            </w:r>
          </w:p>
        </w:tc>
      </w:tr>
      <w:tr>
        <w:tc>
          <w:tcPr>
            <w:tcW w:type="dxa" w:w="1218"/>
            <w:vAlign w:val="center"/>
          </w:tcPr>
          <w:p>
            <w:pPr>
              <w:jc w:val="left"/>
            </w:pPr>
            <w:r/>
            <w:r>
              <w:rPr>
                <w:b/>
                <w:sz w:val="20"/>
              </w:rPr>
              <w:t>Kathmandu</w:t>
            </w:r>
          </w:p>
        </w:tc>
        <w:tc>
          <w:tcPr>
            <w:tcW w:type="dxa" w:w="1218"/>
            <w:vAlign w:val="center"/>
          </w:tcPr>
          <w:p>
            <w:pPr>
              <w:jc w:val="center"/>
            </w:pPr>
            <w:r/>
            <w:r>
              <w:rPr>
                <w:sz w:val="20"/>
              </w:rPr>
              <w:t>0.9</w:t>
            </w:r>
          </w:p>
        </w:tc>
        <w:tc>
          <w:tcPr>
            <w:tcW w:type="dxa" w:w="1218"/>
            <w:vAlign w:val="center"/>
          </w:tcPr>
          <w:p>
            <w:pPr>
              <w:jc w:val="center"/>
            </w:pPr>
            <w:r/>
            <w:r>
              <w:rPr>
                <w:sz w:val="20"/>
              </w:rPr>
              <w:t>14.92</w:t>
            </w:r>
          </w:p>
        </w:tc>
        <w:tc>
          <w:tcPr>
            <w:tcW w:type="dxa" w:w="1218"/>
            <w:vAlign w:val="center"/>
          </w:tcPr>
          <w:p>
            <w:pPr>
              <w:jc w:val="center"/>
            </w:pPr>
            <w:r/>
            <w:r>
              <w:rPr>
                <w:sz w:val="20"/>
              </w:rPr>
              <w:t>0.669</w:t>
            </w:r>
          </w:p>
        </w:tc>
        <w:tc>
          <w:tcPr>
            <w:tcW w:type="dxa" w:w="1218"/>
            <w:vAlign w:val="center"/>
          </w:tcPr>
          <w:p>
            <w:pPr>
              <w:jc w:val="center"/>
            </w:pPr>
            <w:r/>
            <w:r>
              <w:rPr>
                <w:sz w:val="20"/>
              </w:rPr>
              <w:t>12.35</w:t>
            </w:r>
          </w:p>
        </w:tc>
        <w:tc>
          <w:tcPr>
            <w:tcW w:type="dxa" w:w="1218"/>
            <w:vAlign w:val="center"/>
          </w:tcPr>
          <w:p>
            <w:pPr>
              <w:jc w:val="center"/>
            </w:pPr>
            <w:r/>
            <w:r>
              <w:rPr>
                <w:sz w:val="20"/>
              </w:rPr>
              <w:t>49.9</w:t>
            </w:r>
          </w:p>
        </w:tc>
        <w:tc>
          <w:tcPr>
            <w:tcW w:type="dxa" w:w="1218"/>
            <w:vAlign w:val="center"/>
          </w:tcPr>
          <w:p>
            <w:pPr>
              <w:jc w:val="center"/>
            </w:pPr>
            <w:r/>
            <w:r>
              <w:rPr>
                <w:sz w:val="20"/>
              </w:rPr>
              <w:t>4.04</w:t>
            </w:r>
          </w:p>
        </w:tc>
        <w:tc>
          <w:tcPr>
            <w:tcW w:type="dxa" w:w="1218"/>
            <w:vAlign w:val="center"/>
          </w:tcPr>
          <w:p>
            <w:pPr>
              <w:jc w:val="center"/>
            </w:pPr>
            <w:r/>
            <w:r>
              <w:rPr>
                <w:sz w:val="20"/>
              </w:rPr>
              <w:t>-6.7</w:t>
            </w:r>
          </w:p>
        </w:tc>
      </w:tr>
      <w:tr>
        <w:tc>
          <w:tcPr>
            <w:tcW w:type="dxa" w:w="1218"/>
            <w:vAlign w:val="center"/>
          </w:tcPr>
          <w:p>
            <w:pPr>
              <w:jc w:val="left"/>
            </w:pPr>
            <w:r/>
            <w:r>
              <w:rPr>
                <w:b/>
                <w:sz w:val="20"/>
              </w:rPr>
              <w:t>Kathmandu</w:t>
            </w:r>
          </w:p>
        </w:tc>
        <w:tc>
          <w:tcPr>
            <w:tcW w:type="dxa" w:w="1218"/>
            <w:vAlign w:val="center"/>
          </w:tcPr>
          <w:p>
            <w:pPr>
              <w:jc w:val="center"/>
            </w:pPr>
            <w:r/>
            <w:r>
              <w:rPr>
                <w:sz w:val="20"/>
              </w:rPr>
              <w:t>1.0</w:t>
            </w:r>
          </w:p>
        </w:tc>
        <w:tc>
          <w:tcPr>
            <w:tcW w:type="dxa" w:w="1218"/>
            <w:vAlign w:val="center"/>
          </w:tcPr>
          <w:p>
            <w:pPr>
              <w:jc w:val="center"/>
            </w:pPr>
            <w:r/>
            <w:r>
              <w:rPr>
                <w:sz w:val="20"/>
              </w:rPr>
              <w:t>15.22</w:t>
            </w:r>
          </w:p>
        </w:tc>
        <w:tc>
          <w:tcPr>
            <w:tcW w:type="dxa" w:w="1218"/>
            <w:vAlign w:val="center"/>
          </w:tcPr>
          <w:p>
            <w:pPr>
              <w:jc w:val="center"/>
            </w:pPr>
            <w:r/>
            <w:r>
              <w:rPr>
                <w:sz w:val="20"/>
              </w:rPr>
              <w:t>0.674</w:t>
            </w:r>
          </w:p>
        </w:tc>
        <w:tc>
          <w:tcPr>
            <w:tcW w:type="dxa" w:w="1218"/>
            <w:vAlign w:val="center"/>
          </w:tcPr>
          <w:p>
            <w:pPr>
              <w:jc w:val="center"/>
            </w:pPr>
            <w:r/>
            <w:r>
              <w:rPr>
                <w:sz w:val="20"/>
              </w:rPr>
              <w:t>12.45</w:t>
            </w:r>
          </w:p>
        </w:tc>
        <w:tc>
          <w:tcPr>
            <w:tcW w:type="dxa" w:w="1218"/>
            <w:vAlign w:val="center"/>
          </w:tcPr>
          <w:p>
            <w:pPr>
              <w:jc w:val="center"/>
            </w:pPr>
            <w:r/>
            <w:r>
              <w:rPr>
                <w:sz w:val="20"/>
              </w:rPr>
              <w:t>50.3</w:t>
            </w:r>
          </w:p>
        </w:tc>
        <w:tc>
          <w:tcPr>
            <w:tcW w:type="dxa" w:w="1218"/>
            <w:vAlign w:val="center"/>
          </w:tcPr>
          <w:p>
            <w:pPr>
              <w:jc w:val="center"/>
            </w:pPr>
            <w:r/>
            <w:r>
              <w:rPr>
                <w:sz w:val="20"/>
              </w:rPr>
              <w:t>4.04</w:t>
            </w:r>
          </w:p>
        </w:tc>
        <w:tc>
          <w:tcPr>
            <w:tcW w:type="dxa" w:w="1218"/>
            <w:vAlign w:val="center"/>
          </w:tcPr>
          <w:p>
            <w:pPr>
              <w:jc w:val="center"/>
            </w:pPr>
            <w:r/>
            <w:r>
              <w:rPr>
                <w:sz w:val="20"/>
              </w:rPr>
              <w:t>-5.9</w:t>
            </w:r>
          </w:p>
        </w:tc>
      </w:tr>
      <w:tr>
        <w:tc>
          <w:tcPr>
            <w:tcW w:type="dxa" w:w="1218"/>
            <w:vAlign w:val="center"/>
          </w:tcPr>
          <w:p>
            <w:pPr>
              <w:jc w:val="left"/>
            </w:pPr>
            <w:r/>
            <w:r>
              <w:rPr>
                <w:b/>
                <w:sz w:val="20"/>
              </w:rPr>
              <w:t>Biratnagar</w:t>
            </w:r>
          </w:p>
        </w:tc>
        <w:tc>
          <w:tcPr>
            <w:tcW w:type="dxa" w:w="1218"/>
            <w:vAlign w:val="center"/>
          </w:tcPr>
          <w:p>
            <w:pPr>
              <w:jc w:val="center"/>
            </w:pPr>
            <w:r/>
            <w:r>
              <w:rPr>
                <w:sz w:val="20"/>
              </w:rPr>
              <w:t>0.0</w:t>
            </w:r>
          </w:p>
        </w:tc>
        <w:tc>
          <w:tcPr>
            <w:tcW w:type="dxa" w:w="1218"/>
            <w:vAlign w:val="center"/>
          </w:tcPr>
          <w:p>
            <w:pPr>
              <w:jc w:val="center"/>
            </w:pPr>
            <w:r/>
            <w:r>
              <w:rPr>
                <w:sz w:val="20"/>
              </w:rPr>
              <w:t>14.45</w:t>
            </w:r>
          </w:p>
        </w:tc>
        <w:tc>
          <w:tcPr>
            <w:tcW w:type="dxa" w:w="1218"/>
            <w:vAlign w:val="center"/>
          </w:tcPr>
          <w:p>
            <w:pPr>
              <w:jc w:val="center"/>
            </w:pPr>
            <w:r/>
            <w:r>
              <w:rPr>
                <w:sz w:val="20"/>
              </w:rPr>
              <w:t>0.543</w:t>
            </w:r>
          </w:p>
        </w:tc>
        <w:tc>
          <w:tcPr>
            <w:tcW w:type="dxa" w:w="1218"/>
            <w:vAlign w:val="center"/>
          </w:tcPr>
          <w:p>
            <w:pPr>
              <w:jc w:val="center"/>
            </w:pPr>
            <w:r/>
            <w:r>
              <w:rPr>
                <w:sz w:val="20"/>
              </w:rPr>
              <w:t>10.13</w:t>
            </w:r>
          </w:p>
        </w:tc>
        <w:tc>
          <w:tcPr>
            <w:tcW w:type="dxa" w:w="1218"/>
            <w:vAlign w:val="center"/>
          </w:tcPr>
          <w:p>
            <w:pPr>
              <w:jc w:val="center"/>
            </w:pPr>
            <w:r/>
            <w:r>
              <w:rPr>
                <w:sz w:val="20"/>
              </w:rPr>
              <w:t>44.4</w:t>
            </w:r>
          </w:p>
        </w:tc>
        <w:tc>
          <w:tcPr>
            <w:tcW w:type="dxa" w:w="1218"/>
            <w:vAlign w:val="center"/>
          </w:tcPr>
          <w:p>
            <w:pPr>
              <w:jc w:val="center"/>
            </w:pPr>
            <w:r/>
            <w:r>
              <w:rPr>
                <w:sz w:val="20"/>
              </w:rPr>
              <w:t>4.43</w:t>
            </w:r>
          </w:p>
        </w:tc>
        <w:tc>
          <w:tcPr>
            <w:tcW w:type="dxa" w:w="1218"/>
            <w:vAlign w:val="center"/>
          </w:tcPr>
          <w:p>
            <w:pPr>
              <w:jc w:val="center"/>
            </w:pPr>
            <w:r/>
            <w:r>
              <w:rPr>
                <w:sz w:val="20"/>
              </w:rPr>
              <w:t>+0.0</w:t>
            </w:r>
          </w:p>
        </w:tc>
      </w:tr>
      <w:tr>
        <w:tc>
          <w:tcPr>
            <w:tcW w:type="dxa" w:w="1218"/>
            <w:vAlign w:val="center"/>
          </w:tcPr>
          <w:p>
            <w:pPr>
              <w:jc w:val="left"/>
            </w:pPr>
            <w:r/>
            <w:r>
              <w:rPr>
                <w:b/>
                <w:sz w:val="20"/>
              </w:rPr>
              <w:t>Biratnagar</w:t>
            </w:r>
          </w:p>
        </w:tc>
        <w:tc>
          <w:tcPr>
            <w:tcW w:type="dxa" w:w="1218"/>
            <w:vAlign w:val="center"/>
          </w:tcPr>
          <w:p>
            <w:pPr>
              <w:jc w:val="center"/>
            </w:pPr>
            <w:r/>
            <w:r>
              <w:rPr>
                <w:sz w:val="20"/>
              </w:rPr>
              <w:t>0.9</w:t>
            </w:r>
          </w:p>
        </w:tc>
        <w:tc>
          <w:tcPr>
            <w:tcW w:type="dxa" w:w="1218"/>
            <w:vAlign w:val="center"/>
          </w:tcPr>
          <w:p>
            <w:pPr>
              <w:jc w:val="center"/>
            </w:pPr>
            <w:r/>
            <w:r>
              <w:rPr>
                <w:sz w:val="20"/>
              </w:rPr>
              <w:t>14.63</w:t>
            </w:r>
          </w:p>
        </w:tc>
        <w:tc>
          <w:tcPr>
            <w:tcW w:type="dxa" w:w="1218"/>
            <w:vAlign w:val="center"/>
          </w:tcPr>
          <w:p>
            <w:pPr>
              <w:jc w:val="center"/>
            </w:pPr>
            <w:r/>
            <w:r>
              <w:rPr>
                <w:sz w:val="20"/>
              </w:rPr>
              <w:t>0.753</w:t>
            </w:r>
          </w:p>
        </w:tc>
        <w:tc>
          <w:tcPr>
            <w:tcW w:type="dxa" w:w="1218"/>
            <w:vAlign w:val="center"/>
          </w:tcPr>
          <w:p>
            <w:pPr>
              <w:jc w:val="center"/>
            </w:pPr>
            <w:r/>
            <w:r>
              <w:rPr>
                <w:sz w:val="20"/>
              </w:rPr>
              <w:t>13.98</w:t>
            </w:r>
          </w:p>
        </w:tc>
        <w:tc>
          <w:tcPr>
            <w:tcW w:type="dxa" w:w="1218"/>
            <w:vAlign w:val="center"/>
          </w:tcPr>
          <w:p>
            <w:pPr>
              <w:jc w:val="center"/>
            </w:pPr>
            <w:r/>
            <w:r>
              <w:rPr>
                <w:sz w:val="20"/>
              </w:rPr>
              <w:t>56.5</w:t>
            </w:r>
          </w:p>
        </w:tc>
        <w:tc>
          <w:tcPr>
            <w:tcW w:type="dxa" w:w="1218"/>
            <w:vAlign w:val="center"/>
          </w:tcPr>
          <w:p>
            <w:pPr>
              <w:jc w:val="center"/>
            </w:pPr>
            <w:r/>
            <w:r>
              <w:rPr>
                <w:sz w:val="20"/>
              </w:rPr>
              <w:t>4.04</w:t>
            </w:r>
          </w:p>
        </w:tc>
        <w:tc>
          <w:tcPr>
            <w:tcW w:type="dxa" w:w="1218"/>
            <w:vAlign w:val="center"/>
          </w:tcPr>
          <w:p>
            <w:pPr>
              <w:jc w:val="center"/>
            </w:pPr>
            <w:r/>
            <w:r>
              <w:rPr>
                <w:sz w:val="20"/>
              </w:rPr>
              <w:t>+38.8</w:t>
            </w:r>
          </w:p>
        </w:tc>
      </w:tr>
      <w:tr>
        <w:tc>
          <w:tcPr>
            <w:tcW w:type="dxa" w:w="1218"/>
            <w:vAlign w:val="center"/>
          </w:tcPr>
          <w:p>
            <w:pPr>
              <w:jc w:val="left"/>
            </w:pPr>
            <w:r/>
            <w:r>
              <w:rPr>
                <w:b/>
                <w:sz w:val="20"/>
              </w:rPr>
              <w:t>Biratnagar</w:t>
            </w:r>
          </w:p>
        </w:tc>
        <w:tc>
          <w:tcPr>
            <w:tcW w:type="dxa" w:w="1218"/>
            <w:vAlign w:val="center"/>
          </w:tcPr>
          <w:p>
            <w:pPr>
              <w:jc w:val="center"/>
            </w:pPr>
            <w:r/>
            <w:r>
              <w:rPr>
                <w:sz w:val="20"/>
              </w:rPr>
              <w:t>1.0</w:t>
            </w:r>
          </w:p>
        </w:tc>
        <w:tc>
          <w:tcPr>
            <w:tcW w:type="dxa" w:w="1218"/>
            <w:vAlign w:val="center"/>
          </w:tcPr>
          <w:p>
            <w:pPr>
              <w:jc w:val="center"/>
            </w:pPr>
            <w:r/>
            <w:r>
              <w:rPr>
                <w:sz w:val="20"/>
              </w:rPr>
              <w:t>14.73</w:t>
            </w:r>
          </w:p>
        </w:tc>
        <w:tc>
          <w:tcPr>
            <w:tcW w:type="dxa" w:w="1218"/>
            <w:vAlign w:val="center"/>
          </w:tcPr>
          <w:p>
            <w:pPr>
              <w:jc w:val="center"/>
            </w:pPr>
            <w:r/>
            <w:r>
              <w:rPr>
                <w:sz w:val="20"/>
              </w:rPr>
              <w:t>0.752</w:t>
            </w:r>
          </w:p>
        </w:tc>
        <w:tc>
          <w:tcPr>
            <w:tcW w:type="dxa" w:w="1218"/>
            <w:vAlign w:val="center"/>
          </w:tcPr>
          <w:p>
            <w:pPr>
              <w:jc w:val="center"/>
            </w:pPr>
            <w:r/>
            <w:r>
              <w:rPr>
                <w:sz w:val="20"/>
              </w:rPr>
              <w:t>13.95</w:t>
            </w:r>
          </w:p>
        </w:tc>
        <w:tc>
          <w:tcPr>
            <w:tcW w:type="dxa" w:w="1218"/>
            <w:vAlign w:val="center"/>
          </w:tcPr>
          <w:p>
            <w:pPr>
              <w:jc w:val="center"/>
            </w:pPr>
            <w:r/>
            <w:r>
              <w:rPr>
                <w:sz w:val="20"/>
              </w:rPr>
              <w:t>56.4</w:t>
            </w:r>
          </w:p>
        </w:tc>
        <w:tc>
          <w:tcPr>
            <w:tcW w:type="dxa" w:w="1218"/>
            <w:vAlign w:val="center"/>
          </w:tcPr>
          <w:p>
            <w:pPr>
              <w:jc w:val="center"/>
            </w:pPr>
            <w:r/>
            <w:r>
              <w:rPr>
                <w:sz w:val="20"/>
              </w:rPr>
              <w:t>4.04</w:t>
            </w:r>
          </w:p>
        </w:tc>
        <w:tc>
          <w:tcPr>
            <w:tcW w:type="dxa" w:w="1218"/>
            <w:vAlign w:val="center"/>
          </w:tcPr>
          <w:p>
            <w:pPr>
              <w:jc w:val="center"/>
            </w:pPr>
            <w:r/>
            <w:r>
              <w:rPr>
                <w:sz w:val="20"/>
              </w:rPr>
              <w:t>+38.6</w:t>
            </w:r>
          </w:p>
        </w:tc>
      </w:tr>
      <w:tr>
        <w:tc>
          <w:tcPr>
            <w:tcW w:type="dxa" w:w="1218"/>
            <w:vAlign w:val="center"/>
          </w:tcPr>
          <w:p>
            <w:pPr>
              <w:jc w:val="left"/>
            </w:pPr>
            <w:r/>
            <w:r>
              <w:rPr>
                <w:b/>
                <w:sz w:val="20"/>
              </w:rPr>
              <w:t>Taplejung</w:t>
            </w:r>
          </w:p>
        </w:tc>
        <w:tc>
          <w:tcPr>
            <w:tcW w:type="dxa" w:w="1218"/>
            <w:vAlign w:val="center"/>
          </w:tcPr>
          <w:p>
            <w:pPr>
              <w:jc w:val="center"/>
            </w:pPr>
            <w:r/>
            <w:r>
              <w:rPr>
                <w:sz w:val="20"/>
              </w:rPr>
              <w:t>0.0</w:t>
            </w:r>
          </w:p>
        </w:tc>
        <w:tc>
          <w:tcPr>
            <w:tcW w:type="dxa" w:w="1218"/>
            <w:vAlign w:val="center"/>
          </w:tcPr>
          <w:p>
            <w:pPr>
              <w:jc w:val="center"/>
            </w:pPr>
            <w:r/>
            <w:r>
              <w:rPr>
                <w:sz w:val="20"/>
              </w:rPr>
              <w:t>13.97</w:t>
            </w:r>
          </w:p>
        </w:tc>
        <w:tc>
          <w:tcPr>
            <w:tcW w:type="dxa" w:w="1218"/>
            <w:vAlign w:val="center"/>
          </w:tcPr>
          <w:p>
            <w:pPr>
              <w:jc w:val="center"/>
            </w:pPr>
            <w:r/>
            <w:r>
              <w:rPr>
                <w:sz w:val="20"/>
              </w:rPr>
              <w:t>0.566</w:t>
            </w:r>
          </w:p>
        </w:tc>
        <w:tc>
          <w:tcPr>
            <w:tcW w:type="dxa" w:w="1218"/>
            <w:vAlign w:val="center"/>
          </w:tcPr>
          <w:p>
            <w:pPr>
              <w:jc w:val="center"/>
            </w:pPr>
            <w:r/>
            <w:r>
              <w:rPr>
                <w:sz w:val="20"/>
              </w:rPr>
              <w:t>10.61</w:t>
            </w:r>
          </w:p>
        </w:tc>
        <w:tc>
          <w:tcPr>
            <w:tcW w:type="dxa" w:w="1218"/>
            <w:vAlign w:val="center"/>
          </w:tcPr>
          <w:p>
            <w:pPr>
              <w:jc w:val="center"/>
            </w:pPr>
            <w:r/>
            <w:r>
              <w:rPr>
                <w:sz w:val="20"/>
              </w:rPr>
              <w:t>41.6</w:t>
            </w:r>
          </w:p>
        </w:tc>
        <w:tc>
          <w:tcPr>
            <w:tcW w:type="dxa" w:w="1218"/>
            <w:vAlign w:val="center"/>
          </w:tcPr>
          <w:p>
            <w:pPr>
              <w:jc w:val="center"/>
            </w:pPr>
            <w:r/>
            <w:r>
              <w:rPr>
                <w:sz w:val="20"/>
              </w:rPr>
              <w:t>3.92</w:t>
            </w:r>
          </w:p>
        </w:tc>
        <w:tc>
          <w:tcPr>
            <w:tcW w:type="dxa" w:w="1218"/>
            <w:vAlign w:val="center"/>
          </w:tcPr>
          <w:p>
            <w:pPr>
              <w:jc w:val="center"/>
            </w:pPr>
            <w:r/>
            <w:r>
              <w:rPr>
                <w:sz w:val="20"/>
              </w:rPr>
              <w:t>+0.0</w:t>
            </w:r>
          </w:p>
        </w:tc>
      </w:tr>
      <w:tr>
        <w:tc>
          <w:tcPr>
            <w:tcW w:type="dxa" w:w="1218"/>
            <w:vAlign w:val="center"/>
          </w:tcPr>
          <w:p>
            <w:pPr>
              <w:jc w:val="left"/>
            </w:pPr>
            <w:r/>
            <w:r>
              <w:rPr>
                <w:b/>
                <w:sz w:val="20"/>
              </w:rPr>
              <w:t>Taplejung</w:t>
            </w:r>
          </w:p>
        </w:tc>
        <w:tc>
          <w:tcPr>
            <w:tcW w:type="dxa" w:w="1218"/>
            <w:vAlign w:val="center"/>
          </w:tcPr>
          <w:p>
            <w:pPr>
              <w:jc w:val="center"/>
            </w:pPr>
            <w:r/>
            <w:r>
              <w:rPr>
                <w:sz w:val="20"/>
              </w:rPr>
              <w:t>0.9</w:t>
            </w:r>
          </w:p>
        </w:tc>
        <w:tc>
          <w:tcPr>
            <w:tcW w:type="dxa" w:w="1218"/>
            <w:vAlign w:val="center"/>
          </w:tcPr>
          <w:p>
            <w:pPr>
              <w:jc w:val="center"/>
            </w:pPr>
            <w:r/>
            <w:r>
              <w:rPr>
                <w:sz w:val="20"/>
              </w:rPr>
              <w:t>15.23</w:t>
            </w:r>
          </w:p>
        </w:tc>
        <w:tc>
          <w:tcPr>
            <w:tcW w:type="dxa" w:w="1218"/>
            <w:vAlign w:val="center"/>
          </w:tcPr>
          <w:p>
            <w:pPr>
              <w:jc w:val="center"/>
            </w:pPr>
            <w:r/>
            <w:r>
              <w:rPr>
                <w:sz w:val="20"/>
              </w:rPr>
              <w:t>0.646</w:t>
            </w:r>
          </w:p>
        </w:tc>
        <w:tc>
          <w:tcPr>
            <w:tcW w:type="dxa" w:w="1218"/>
            <w:vAlign w:val="center"/>
          </w:tcPr>
          <w:p>
            <w:pPr>
              <w:jc w:val="center"/>
            </w:pPr>
            <w:r/>
            <w:r>
              <w:rPr>
                <w:sz w:val="20"/>
              </w:rPr>
              <w:t>11.91</w:t>
            </w:r>
          </w:p>
        </w:tc>
        <w:tc>
          <w:tcPr>
            <w:tcW w:type="dxa" w:w="1218"/>
            <w:vAlign w:val="center"/>
          </w:tcPr>
          <w:p>
            <w:pPr>
              <w:jc w:val="center"/>
            </w:pPr>
            <w:r/>
            <w:r>
              <w:rPr>
                <w:sz w:val="20"/>
              </w:rPr>
              <w:t>48.1</w:t>
            </w:r>
          </w:p>
        </w:tc>
        <w:tc>
          <w:tcPr>
            <w:tcW w:type="dxa" w:w="1218"/>
            <w:vAlign w:val="center"/>
          </w:tcPr>
          <w:p>
            <w:pPr>
              <w:jc w:val="center"/>
            </w:pPr>
            <w:r/>
            <w:r>
              <w:rPr>
                <w:sz w:val="20"/>
              </w:rPr>
              <w:t>4.04</w:t>
            </w:r>
          </w:p>
        </w:tc>
        <w:tc>
          <w:tcPr>
            <w:tcW w:type="dxa" w:w="1218"/>
            <w:vAlign w:val="center"/>
          </w:tcPr>
          <w:p>
            <w:pPr>
              <w:jc w:val="center"/>
            </w:pPr>
            <w:r/>
            <w:r>
              <w:rPr>
                <w:sz w:val="20"/>
              </w:rPr>
              <w:t>+14.1</w:t>
            </w:r>
          </w:p>
        </w:tc>
      </w:tr>
      <w:tr>
        <w:tc>
          <w:tcPr>
            <w:tcW w:type="dxa" w:w="1218"/>
            <w:vAlign w:val="center"/>
          </w:tcPr>
          <w:p>
            <w:pPr>
              <w:jc w:val="left"/>
            </w:pPr>
            <w:r/>
            <w:r>
              <w:rPr>
                <w:b/>
                <w:sz w:val="20"/>
              </w:rPr>
              <w:t>Taplejung</w:t>
            </w:r>
          </w:p>
        </w:tc>
        <w:tc>
          <w:tcPr>
            <w:tcW w:type="dxa" w:w="1218"/>
            <w:vAlign w:val="center"/>
          </w:tcPr>
          <w:p>
            <w:pPr>
              <w:jc w:val="center"/>
            </w:pPr>
            <w:r/>
            <w:r>
              <w:rPr>
                <w:sz w:val="20"/>
              </w:rPr>
              <w:t>1.0</w:t>
            </w:r>
          </w:p>
        </w:tc>
        <w:tc>
          <w:tcPr>
            <w:tcW w:type="dxa" w:w="1218"/>
            <w:vAlign w:val="center"/>
          </w:tcPr>
          <w:p>
            <w:pPr>
              <w:jc w:val="center"/>
            </w:pPr>
            <w:r/>
            <w:r>
              <w:rPr>
                <w:sz w:val="20"/>
              </w:rPr>
              <w:t>15.40</w:t>
            </w:r>
          </w:p>
        </w:tc>
        <w:tc>
          <w:tcPr>
            <w:tcW w:type="dxa" w:w="1218"/>
            <w:vAlign w:val="center"/>
          </w:tcPr>
          <w:p>
            <w:pPr>
              <w:jc w:val="center"/>
            </w:pPr>
            <w:r/>
            <w:r>
              <w:rPr>
                <w:sz w:val="20"/>
              </w:rPr>
              <w:t>0.647</w:t>
            </w:r>
          </w:p>
        </w:tc>
        <w:tc>
          <w:tcPr>
            <w:tcW w:type="dxa" w:w="1218"/>
            <w:vAlign w:val="center"/>
          </w:tcPr>
          <w:p>
            <w:pPr>
              <w:jc w:val="center"/>
            </w:pPr>
            <w:r/>
            <w:r>
              <w:rPr>
                <w:sz w:val="20"/>
              </w:rPr>
              <w:t>11.92</w:t>
            </w:r>
          </w:p>
        </w:tc>
        <w:tc>
          <w:tcPr>
            <w:tcW w:type="dxa" w:w="1218"/>
            <w:vAlign w:val="center"/>
          </w:tcPr>
          <w:p>
            <w:pPr>
              <w:jc w:val="center"/>
            </w:pPr>
            <w:r/>
            <w:r>
              <w:rPr>
                <w:sz w:val="20"/>
              </w:rPr>
              <w:t>48.2</w:t>
            </w:r>
          </w:p>
        </w:tc>
        <w:tc>
          <w:tcPr>
            <w:tcW w:type="dxa" w:w="1218"/>
            <w:vAlign w:val="center"/>
          </w:tcPr>
          <w:p>
            <w:pPr>
              <w:jc w:val="center"/>
            </w:pPr>
            <w:r/>
            <w:r>
              <w:rPr>
                <w:sz w:val="20"/>
              </w:rPr>
              <w:t>4.04</w:t>
            </w:r>
          </w:p>
        </w:tc>
        <w:tc>
          <w:tcPr>
            <w:tcW w:type="dxa" w:w="1218"/>
            <w:vAlign w:val="center"/>
          </w:tcPr>
          <w:p>
            <w:pPr>
              <w:jc w:val="center"/>
            </w:pPr>
            <w:r/>
            <w:r>
              <w:rPr>
                <w:sz w:val="20"/>
              </w:rPr>
              <w:t>+14.3</w:t>
            </w:r>
          </w:p>
        </w:tc>
      </w:tr>
    </w:tbl>
    <w:p>
      <w:pPr>
        <w:spacing w:after="80"/>
      </w:pPr>
      <w:r>
        <w:rPr>
          <w:b w:val="0"/>
          <w:i w:val="0"/>
          <w:sz w:val="22"/>
        </w:rPr>
        <w:t>Recirculation is not a universally beneficial knob. At Kathmandu it trims SEC by 6.7 % at r = 0.9; at Biratnagar it inflates SEC by 38.7 %; at Taplejung it sits in between at +14.1 %. The sign of the effect is set by the evaporator temperature, which, as noted in Section 1.1, is ambient-adaptive in open-loop and fixed at 5 °C in closed-loop. The open-loop T_evap equals the closed-loop T_evap precisely when T_amb = 15 °C, and this threshold emerges cleanly in the data. Kathmandu's 15.7 °C annual mean sits only slightly above the crossover, so switching to the fixed 5 °C T_evap raises the evaporator operating point and improves COP. Biratnagar's 24.4 °C mean sits 9 K above the crossover, so recirculation depresses T_evap and degrades COP. Taplejung's 16.8 °C mean sits just above, producing a moderate penalty.</w:t>
      </w:r>
    </w:p>
    <w:p>
      <w:pPr>
        <w:spacing w:after="80"/>
      </w:pPr>
      <w:r>
        <w:rPr>
          <w:b w:val="0"/>
          <w:i w:val="0"/>
          <w:sz w:val="22"/>
        </w:rPr>
        <w:t>A second, reinforcing effect operates through the condenser inlet. At r = 0 the condenser receives air at T_amb, whereas at r = 0.9 it receives the evaporator outlet at roughly 12 °C. For Biratnagar this means the condenser must now lift 33 K instead of 21 K (a 55 % increase in Q_cond) even though the lift per unit mass is smaller. For Kathmandu the penalty is muted because 12 °C is only a few kelvin below the 15.7 °C ambient. The W_comp column in Table 3 confirms this: at Biratnagar, compressor work jumps from 10.1 kWh (r = 0) to 14.0 kWh (r = 0.9) despite an identical product load.</w:t>
      </w:r>
    </w:p>
    <w:p>
      <w:pPr>
        <w:spacing w:after="80"/>
      </w:pPr>
      <w:r>
        <w:rPr>
          <w:b w:val="0"/>
          <w:i w:val="0"/>
          <w:sz w:val="22"/>
        </w:rPr>
        <w:t>Moving from r = 0.9 to r = 1.0 changes SEC by at most 1 % at every site. Once recirculation dominates, the residual sensitivity to the fresh-air fraction is minor because the energy balance is dominated by the internal cycle. Practically, r = 0.9 is the relevant closed-loop operating point for the subsequent sections and is used throughout the optimisation analyses in Section 4.</w:t>
      </w:r>
    </w:p>
    <w:p>
      <w:pPr>
        <w:pStyle w:val="Heading1"/>
      </w:pPr>
      <w:r>
        <w:rPr>
          <w:color w:val="1F2D5A"/>
        </w:rPr>
        <w:t>2  Config B: Solar + Heat-Pump in Series</w:t>
      </w:r>
    </w:p>
    <w:p>
      <w:pPr>
        <w:pStyle w:val="Heading2"/>
      </w:pPr>
      <w:r>
        <w:rPr>
          <w:color w:val="1F2D5A"/>
        </w:rPr>
        <w:t>2.1  System Description and Air Paths</w:t>
      </w:r>
    </w:p>
    <w:p>
      <w:pPr>
        <w:spacing w:after="80"/>
      </w:pPr>
      <w:r>
        <w:rPr>
          <w:b w:val="0"/>
          <w:i w:val="0"/>
          <w:sz w:val="22"/>
        </w:rPr>
        <w:t>Config B adds a single flat-plate solar collector in series with the heat-pump condenser. The collector always sits immediately upstream of the condenser on the process loop so that any free useful gain is applied first and the compressor only has to make up the deficit to T_set. Baseline collector area is 10 m²; a 5 m² area is also evaluated at Kathmandu to size the sensitivity to collector area.</w:t>
      </w:r>
    </w:p>
    <w:p>
      <w:pPr>
        <w:spacing w:after="80"/>
      </w:pPr>
      <w:r>
        <w:rPr>
          <w:b/>
          <w:i w:val="0"/>
          <w:sz w:val="22"/>
        </w:rPr>
        <w:t>Open-loop mode (r = 0)</w:t>
      </w:r>
    </w:p>
    <w:p>
      <w:pPr>
        <w:jc w:val="center"/>
      </w:pPr>
      <w:r>
        <w:rPr>
          <w:b/>
          <w:i/>
          <w:color w:val="996600"/>
        </w:rPr>
        <w:t>[ DIAGRAM: Config B open-loop air path ]</w:t>
      </w:r>
    </w:p>
    <w:p>
      <w:pPr>
        <w:jc w:val="center"/>
      </w:pPr>
      <w:r>
        <w:rPr>
          <w:i/>
          <w:sz w:val="20"/>
        </w:rPr>
        <w:t>Figure 3. Config B open-loop schematic. Ambient air is preheated in the solar collector, topped up to T_set at the condenser, dries the product, and is exhausted. The evaporator draws a separate ambient stream (T_evap = T_amb − 10 K).</w:t>
      </w:r>
    </w:p>
    <w:p>
      <w:pPr>
        <w:spacing w:after="80"/>
      </w:pPr>
      <w:r>
        <w:rPr>
          <w:b w:val="0"/>
          <w:i w:val="0"/>
          <w:sz w:val="22"/>
        </w:rPr>
        <w:t>Ambient air flows through the collector, picks up solar useful gain (computed with the Hottel, Whillier, Bliss first-order loss model using τα = 0.75 and U_L = 5.0 W/m²K, cast in NTU form), and enters the condenser at T_after_solar. When T_after_solar is already above T_set the condenser switches off and the inlet is clipped to T_set by ambient bypass (no compressor work incurred). Otherwise the condenser provides the residual lift up to T_set = 45 °C. The evaporator runs on a parallel ambient stream so the compressor COP tracks ambient in the same way as Config A open-loop.</w:t>
      </w:r>
    </w:p>
    <w:p>
      <w:pPr>
        <w:spacing w:after="80"/>
      </w:pPr>
      <w:r>
        <w:rPr>
          <w:b/>
          <w:i w:val="0"/>
          <w:sz w:val="22"/>
        </w:rPr>
        <w:t>Closed-loop mode (r &gt; 0)</w:t>
      </w:r>
    </w:p>
    <w:p>
      <w:pPr>
        <w:jc w:val="center"/>
      </w:pPr>
      <w:r>
        <w:rPr>
          <w:b/>
          <w:i/>
          <w:color w:val="996600"/>
        </w:rPr>
        <w:t>[ DIAGRAM: Config B closed-loop air path ]</w:t>
      </w:r>
    </w:p>
    <w:p>
      <w:pPr>
        <w:jc w:val="center"/>
      </w:pPr>
      <w:r>
        <w:rPr>
          <w:i/>
          <w:sz w:val="20"/>
        </w:rPr>
        <w:t>Figure 4. Config B closed-loop schematic. Recirculated exhaust mixes with ambient, is dehumidified at the evaporator, then picks up solar gain before final condenser heating.</w:t>
      </w:r>
    </w:p>
    <w:p>
      <w:pPr>
        <w:spacing w:after="80"/>
      </w:pPr>
      <w:r>
        <w:rPr>
          <w:b w:val="0"/>
          <w:i w:val="0"/>
          <w:sz w:val="22"/>
        </w:rPr>
        <w:t>A fraction r of the chamber exhaust is mixed with fresh ambient air on enthalpy and humidity ratio, passed through the evaporator (fixed coil at T_evap = 5 °C, ε_evap = 0.85) where dehumidification occurs, then routed through the solar collector, and finally through the condenser to reach T_set. This ordering has a specific physical consequence: the solar collector sees cold, partially saturated air leaving the evaporator rather than warmer ambient, which amplifies the useful gain because collector losses scale with (T_absorber − T_amb). The evaporator is the only component with a hard operating-point pin in Config B; every other temperature in the process loop is self-consistent with the first-law closure Q_cond = Q_evap + W_comp.</w:t>
      </w:r>
    </w:p>
    <w:p>
      <w:pPr>
        <w:pStyle w:val="Heading2"/>
      </w:pPr>
      <w:r>
        <w:rPr>
          <w:color w:val="1F2D5A"/>
        </w:rPr>
        <w:t>2.2  Annual Primary Case (r = 0, 10 m²)</w:t>
      </w:r>
    </w:p>
    <w:p>
      <w:pPr>
        <w:spacing w:before="120" w:after="40"/>
      </w:pPr>
      <w:r>
        <w:rPr>
          <w:b/>
          <w:sz w:val="20"/>
        </w:rPr>
        <w:t>Table 4. Config B annual-TMY performance (r = 0, 10 m² collector) across the three locations. ΔSEC is the reduction relative to each site's own Config A (r = 0) annual result.</w:t>
      </w:r>
    </w:p>
    <w:tbl>
      <w:tblPr>
        <w:tblStyle w:val="LightGrid-Accent1"/>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vAlign w:val="center"/>
            <w:shd w:val="clear" w:color="auto" w:fill="E6ECF5"/>
          </w:tcPr>
          <w:p>
            <w:pPr>
              <w:jc w:val="center"/>
            </w:pPr>
            <w:r/>
            <w:r>
              <w:rPr>
                <w:b/>
                <w:sz w:val="20"/>
              </w:rPr>
              <w:t>Location</w:t>
            </w:r>
          </w:p>
        </w:tc>
        <w:tc>
          <w:tcPr>
            <w:tcW w:type="dxa" w:w="975"/>
            <w:vAlign w:val="center"/>
            <w:shd w:val="clear" w:color="auto" w:fill="E6ECF5"/>
          </w:tcPr>
          <w:p>
            <w:pPr>
              <w:jc w:val="center"/>
            </w:pPr>
            <w:r/>
            <w:r>
              <w:rPr>
                <w:b/>
                <w:sz w:val="20"/>
              </w:rPr>
              <w:t>T_amb (°C)</w:t>
            </w:r>
          </w:p>
        </w:tc>
        <w:tc>
          <w:tcPr>
            <w:tcW w:type="dxa" w:w="975"/>
            <w:vAlign w:val="center"/>
            <w:shd w:val="clear" w:color="auto" w:fill="E6ECF5"/>
          </w:tcPr>
          <w:p>
            <w:pPr>
              <w:jc w:val="center"/>
            </w:pPr>
            <w:r/>
            <w:r>
              <w:rPr>
                <w:b/>
                <w:sz w:val="20"/>
              </w:rPr>
              <w:t>Time (h)</w:t>
            </w:r>
          </w:p>
        </w:tc>
        <w:tc>
          <w:tcPr>
            <w:tcW w:type="dxa" w:w="975"/>
            <w:vAlign w:val="center"/>
            <w:shd w:val="clear" w:color="auto" w:fill="E6ECF5"/>
          </w:tcPr>
          <w:p>
            <w:pPr>
              <w:jc w:val="center"/>
            </w:pPr>
            <w:r/>
            <w:r>
              <w:rPr>
                <w:b/>
                <w:sz w:val="20"/>
              </w:rPr>
              <w:t>SEC (kWh/kg)</w:t>
            </w:r>
          </w:p>
        </w:tc>
        <w:tc>
          <w:tcPr>
            <w:tcW w:type="dxa" w:w="975"/>
            <w:vAlign w:val="center"/>
            <w:shd w:val="clear" w:color="auto" w:fill="E6ECF5"/>
          </w:tcPr>
          <w:p>
            <w:pPr>
              <w:jc w:val="center"/>
            </w:pPr>
            <w:r/>
            <w:r>
              <w:rPr>
                <w:b/>
                <w:sz w:val="20"/>
              </w:rPr>
              <w:t>W_comp (kWh)</w:t>
            </w:r>
          </w:p>
        </w:tc>
        <w:tc>
          <w:tcPr>
            <w:tcW w:type="dxa" w:w="975"/>
            <w:vAlign w:val="center"/>
            <w:shd w:val="clear" w:color="auto" w:fill="E6ECF5"/>
          </w:tcPr>
          <w:p>
            <w:pPr>
              <w:jc w:val="center"/>
            </w:pPr>
            <w:r/>
            <w:r>
              <w:rPr>
                <w:b/>
                <w:sz w:val="20"/>
              </w:rPr>
              <w:t>Q_solar (kWh)</w:t>
            </w:r>
          </w:p>
        </w:tc>
        <w:tc>
          <w:tcPr>
            <w:tcW w:type="dxa" w:w="975"/>
            <w:vAlign w:val="center"/>
            <w:shd w:val="clear" w:color="auto" w:fill="E6ECF5"/>
          </w:tcPr>
          <w:p>
            <w:pPr>
              <w:jc w:val="center"/>
            </w:pPr>
            <w:r/>
            <w:r>
              <w:rPr>
                <w:b/>
                <w:sz w:val="20"/>
              </w:rPr>
              <w:t>Q_cond (kWh)</w:t>
            </w:r>
          </w:p>
        </w:tc>
        <w:tc>
          <w:tcPr>
            <w:tcW w:type="dxa" w:w="975"/>
            <w:vAlign w:val="center"/>
            <w:shd w:val="clear" w:color="auto" w:fill="E6ECF5"/>
          </w:tcPr>
          <w:p>
            <w:pPr>
              <w:jc w:val="center"/>
            </w:pPr>
            <w:r/>
            <w:r>
              <w:rPr>
                <w:b/>
                <w:sz w:val="20"/>
              </w:rPr>
              <w:t>Solar frac</w:t>
            </w:r>
          </w:p>
        </w:tc>
        <w:tc>
          <w:tcPr>
            <w:tcW w:type="dxa" w:w="975"/>
            <w:vAlign w:val="center"/>
            <w:shd w:val="clear" w:color="auto" w:fill="E6ECF5"/>
          </w:tcPr>
          <w:p>
            <w:pPr>
              <w:jc w:val="center"/>
            </w:pPr>
            <w:r/>
            <w:r>
              <w:rPr>
                <w:b/>
                <w:sz w:val="20"/>
              </w:rPr>
              <w:t>COP</w:t>
            </w:r>
          </w:p>
        </w:tc>
        <w:tc>
          <w:tcPr>
            <w:tcW w:type="dxa" w:w="975"/>
            <w:vAlign w:val="center"/>
            <w:shd w:val="clear" w:color="auto" w:fill="E6ECF5"/>
          </w:tcPr>
          <w:p>
            <w:pPr>
              <w:jc w:val="center"/>
            </w:pPr>
            <w:r/>
            <w:r>
              <w:rPr>
                <w:b/>
                <w:sz w:val="20"/>
              </w:rPr>
              <w:t>ΔSEC vs A (%)</w:t>
            </w:r>
          </w:p>
        </w:tc>
      </w:tr>
      <w:tr>
        <w:tc>
          <w:tcPr>
            <w:tcW w:type="dxa" w:w="975"/>
            <w:vAlign w:val="center"/>
          </w:tcPr>
          <w:p>
            <w:pPr>
              <w:jc w:val="left"/>
            </w:pPr>
            <w:r/>
            <w:r>
              <w:rPr>
                <w:b/>
                <w:sz w:val="20"/>
              </w:rPr>
              <w:t>Kathmandu</w:t>
            </w:r>
          </w:p>
        </w:tc>
        <w:tc>
          <w:tcPr>
            <w:tcW w:type="dxa" w:w="975"/>
            <w:vAlign w:val="center"/>
          </w:tcPr>
          <w:p>
            <w:pPr>
              <w:jc w:val="center"/>
            </w:pPr>
            <w:r/>
            <w:r>
              <w:rPr>
                <w:sz w:val="20"/>
              </w:rPr>
              <w:t>15.7</w:t>
            </w:r>
          </w:p>
        </w:tc>
        <w:tc>
          <w:tcPr>
            <w:tcW w:type="dxa" w:w="975"/>
            <w:vAlign w:val="center"/>
          </w:tcPr>
          <w:p>
            <w:pPr>
              <w:jc w:val="center"/>
            </w:pPr>
            <w:r/>
            <w:r>
              <w:rPr>
                <w:sz w:val="20"/>
              </w:rPr>
              <w:t>13.85</w:t>
            </w:r>
          </w:p>
        </w:tc>
        <w:tc>
          <w:tcPr>
            <w:tcW w:type="dxa" w:w="975"/>
            <w:vAlign w:val="center"/>
          </w:tcPr>
          <w:p>
            <w:pPr>
              <w:jc w:val="center"/>
            </w:pPr>
            <w:r/>
            <w:r>
              <w:rPr>
                <w:sz w:val="20"/>
              </w:rPr>
              <w:t>0.488</w:t>
            </w:r>
          </w:p>
        </w:tc>
        <w:tc>
          <w:tcPr>
            <w:tcW w:type="dxa" w:w="975"/>
            <w:vAlign w:val="center"/>
          </w:tcPr>
          <w:p>
            <w:pPr>
              <w:jc w:val="center"/>
            </w:pPr>
            <w:r/>
            <w:r>
              <w:rPr>
                <w:sz w:val="20"/>
              </w:rPr>
              <w:t>9.09</w:t>
            </w:r>
          </w:p>
        </w:tc>
        <w:tc>
          <w:tcPr>
            <w:tcW w:type="dxa" w:w="975"/>
            <w:vAlign w:val="center"/>
          </w:tcPr>
          <w:p>
            <w:pPr>
              <w:jc w:val="center"/>
            </w:pPr>
            <w:r/>
            <w:r>
              <w:rPr>
                <w:sz w:val="20"/>
              </w:rPr>
              <w:t>15.9</w:t>
            </w:r>
          </w:p>
        </w:tc>
        <w:tc>
          <w:tcPr>
            <w:tcW w:type="dxa" w:w="975"/>
            <w:vAlign w:val="center"/>
          </w:tcPr>
          <w:p>
            <w:pPr>
              <w:jc w:val="center"/>
            </w:pPr>
            <w:r/>
            <w:r>
              <w:rPr>
                <w:sz w:val="20"/>
              </w:rPr>
              <w:t>32.9</w:t>
            </w:r>
          </w:p>
        </w:tc>
        <w:tc>
          <w:tcPr>
            <w:tcW w:type="dxa" w:w="975"/>
            <w:vAlign w:val="center"/>
          </w:tcPr>
          <w:p>
            <w:pPr>
              <w:jc w:val="center"/>
            </w:pPr>
            <w:r/>
            <w:r>
              <w:rPr>
                <w:sz w:val="20"/>
              </w:rPr>
              <w:t>0.627</w:t>
            </w:r>
          </w:p>
        </w:tc>
        <w:tc>
          <w:tcPr>
            <w:tcW w:type="dxa" w:w="975"/>
            <w:vAlign w:val="center"/>
          </w:tcPr>
          <w:p>
            <w:pPr>
              <w:jc w:val="center"/>
            </w:pPr>
            <w:r/>
            <w:r>
              <w:rPr>
                <w:sz w:val="20"/>
              </w:rPr>
              <w:t>3.63</w:t>
            </w:r>
          </w:p>
        </w:tc>
        <w:tc>
          <w:tcPr>
            <w:tcW w:type="dxa" w:w="975"/>
            <w:vAlign w:val="center"/>
          </w:tcPr>
          <w:p>
            <w:pPr>
              <w:jc w:val="center"/>
            </w:pPr>
            <w:r/>
            <w:r>
              <w:rPr>
                <w:sz w:val="20"/>
              </w:rPr>
              <w:t>32.0</w:t>
            </w:r>
          </w:p>
        </w:tc>
      </w:tr>
      <w:tr>
        <w:tc>
          <w:tcPr>
            <w:tcW w:type="dxa" w:w="975"/>
            <w:vAlign w:val="center"/>
          </w:tcPr>
          <w:p>
            <w:pPr>
              <w:jc w:val="left"/>
            </w:pPr>
            <w:r/>
            <w:r>
              <w:rPr>
                <w:b/>
                <w:sz w:val="20"/>
              </w:rPr>
              <w:t>Biratnagar</w:t>
            </w:r>
          </w:p>
        </w:tc>
        <w:tc>
          <w:tcPr>
            <w:tcW w:type="dxa" w:w="975"/>
            <w:vAlign w:val="center"/>
          </w:tcPr>
          <w:p>
            <w:pPr>
              <w:jc w:val="center"/>
            </w:pPr>
            <w:r/>
            <w:r>
              <w:rPr>
                <w:sz w:val="20"/>
              </w:rPr>
              <w:t>24.4</w:t>
            </w:r>
          </w:p>
        </w:tc>
        <w:tc>
          <w:tcPr>
            <w:tcW w:type="dxa" w:w="975"/>
            <w:vAlign w:val="center"/>
          </w:tcPr>
          <w:p>
            <w:pPr>
              <w:jc w:val="center"/>
            </w:pPr>
            <w:r/>
            <w:r>
              <w:rPr>
                <w:sz w:val="20"/>
              </w:rPr>
              <w:t>14.45</w:t>
            </w:r>
          </w:p>
        </w:tc>
        <w:tc>
          <w:tcPr>
            <w:tcW w:type="dxa" w:w="975"/>
            <w:vAlign w:val="center"/>
          </w:tcPr>
          <w:p>
            <w:pPr>
              <w:jc w:val="center"/>
            </w:pPr>
            <w:r/>
            <w:r>
              <w:rPr>
                <w:sz w:val="20"/>
              </w:rPr>
              <w:t>0.287</w:t>
            </w:r>
          </w:p>
        </w:tc>
        <w:tc>
          <w:tcPr>
            <w:tcW w:type="dxa" w:w="975"/>
            <w:vAlign w:val="center"/>
          </w:tcPr>
          <w:p>
            <w:pPr>
              <w:jc w:val="center"/>
            </w:pPr>
            <w:r/>
            <w:r>
              <w:rPr>
                <w:sz w:val="20"/>
              </w:rPr>
              <w:t>5.18</w:t>
            </w:r>
          </w:p>
        </w:tc>
        <w:tc>
          <w:tcPr>
            <w:tcW w:type="dxa" w:w="975"/>
            <w:vAlign w:val="center"/>
          </w:tcPr>
          <w:p>
            <w:pPr>
              <w:jc w:val="center"/>
            </w:pPr>
            <w:r/>
            <w:r>
              <w:rPr>
                <w:sz w:val="20"/>
              </w:rPr>
              <w:t>22.8</w:t>
            </w:r>
          </w:p>
        </w:tc>
        <w:tc>
          <w:tcPr>
            <w:tcW w:type="dxa" w:w="975"/>
            <w:vAlign w:val="center"/>
          </w:tcPr>
          <w:p>
            <w:pPr>
              <w:jc w:val="center"/>
            </w:pPr>
            <w:r/>
            <w:r>
              <w:rPr>
                <w:sz w:val="20"/>
              </w:rPr>
              <w:t>22.6</w:t>
            </w:r>
          </w:p>
        </w:tc>
        <w:tc>
          <w:tcPr>
            <w:tcW w:type="dxa" w:w="975"/>
            <w:vAlign w:val="center"/>
          </w:tcPr>
          <w:p>
            <w:pPr>
              <w:jc w:val="center"/>
            </w:pPr>
            <w:r/>
            <w:r>
              <w:rPr>
                <w:sz w:val="20"/>
              </w:rPr>
              <w:t>0.804</w:t>
            </w:r>
          </w:p>
        </w:tc>
        <w:tc>
          <w:tcPr>
            <w:tcW w:type="dxa" w:w="975"/>
            <w:vAlign w:val="center"/>
          </w:tcPr>
          <w:p>
            <w:pPr>
              <w:jc w:val="center"/>
            </w:pPr>
            <w:r/>
            <w:r>
              <w:rPr>
                <w:sz w:val="20"/>
              </w:rPr>
              <w:t>4.43</w:t>
            </w:r>
          </w:p>
        </w:tc>
        <w:tc>
          <w:tcPr>
            <w:tcW w:type="dxa" w:w="975"/>
            <w:vAlign w:val="center"/>
          </w:tcPr>
          <w:p>
            <w:pPr>
              <w:jc w:val="center"/>
            </w:pPr>
            <w:r/>
            <w:r>
              <w:rPr>
                <w:sz w:val="20"/>
              </w:rPr>
              <w:t>47.1</w:t>
            </w:r>
          </w:p>
        </w:tc>
      </w:tr>
      <w:tr>
        <w:tc>
          <w:tcPr>
            <w:tcW w:type="dxa" w:w="975"/>
            <w:vAlign w:val="center"/>
          </w:tcPr>
          <w:p>
            <w:pPr>
              <w:jc w:val="left"/>
            </w:pPr>
            <w:r/>
            <w:r>
              <w:rPr>
                <w:b/>
                <w:sz w:val="20"/>
              </w:rPr>
              <w:t>Taplejung</w:t>
            </w:r>
          </w:p>
        </w:tc>
        <w:tc>
          <w:tcPr>
            <w:tcW w:type="dxa" w:w="975"/>
            <w:vAlign w:val="center"/>
          </w:tcPr>
          <w:p>
            <w:pPr>
              <w:jc w:val="center"/>
            </w:pPr>
            <w:r/>
            <w:r>
              <w:rPr>
                <w:sz w:val="20"/>
              </w:rPr>
              <w:t>16.8</w:t>
            </w:r>
          </w:p>
        </w:tc>
        <w:tc>
          <w:tcPr>
            <w:tcW w:type="dxa" w:w="975"/>
            <w:vAlign w:val="center"/>
          </w:tcPr>
          <w:p>
            <w:pPr>
              <w:jc w:val="center"/>
            </w:pPr>
            <w:r/>
            <w:r>
              <w:rPr>
                <w:sz w:val="20"/>
              </w:rPr>
              <w:t>13.97</w:t>
            </w:r>
          </w:p>
        </w:tc>
        <w:tc>
          <w:tcPr>
            <w:tcW w:type="dxa" w:w="975"/>
            <w:vAlign w:val="center"/>
          </w:tcPr>
          <w:p>
            <w:pPr>
              <w:jc w:val="center"/>
            </w:pPr>
            <w:r/>
            <w:r>
              <w:rPr>
                <w:sz w:val="20"/>
              </w:rPr>
              <w:t>0.344</w:t>
            </w:r>
          </w:p>
        </w:tc>
        <w:tc>
          <w:tcPr>
            <w:tcW w:type="dxa" w:w="975"/>
            <w:vAlign w:val="center"/>
          </w:tcPr>
          <w:p>
            <w:pPr>
              <w:jc w:val="center"/>
            </w:pPr>
            <w:r/>
            <w:r>
              <w:rPr>
                <w:sz w:val="20"/>
              </w:rPr>
              <w:t>6.32</w:t>
            </w:r>
          </w:p>
        </w:tc>
        <w:tc>
          <w:tcPr>
            <w:tcW w:type="dxa" w:w="975"/>
            <w:vAlign w:val="center"/>
          </w:tcPr>
          <w:p>
            <w:pPr>
              <w:jc w:val="center"/>
            </w:pPr>
            <w:r/>
            <w:r>
              <w:rPr>
                <w:sz w:val="20"/>
              </w:rPr>
              <w:t>16.8</w:t>
            </w:r>
          </w:p>
        </w:tc>
        <w:tc>
          <w:tcPr>
            <w:tcW w:type="dxa" w:w="975"/>
            <w:vAlign w:val="center"/>
          </w:tcPr>
          <w:p>
            <w:pPr>
              <w:jc w:val="center"/>
            </w:pPr>
            <w:r/>
            <w:r>
              <w:rPr>
                <w:sz w:val="20"/>
              </w:rPr>
              <w:t>24.5</w:t>
            </w:r>
          </w:p>
        </w:tc>
        <w:tc>
          <w:tcPr>
            <w:tcW w:type="dxa" w:w="975"/>
            <w:vAlign w:val="center"/>
          </w:tcPr>
          <w:p>
            <w:pPr>
              <w:jc w:val="center"/>
            </w:pPr>
            <w:r/>
            <w:r>
              <w:rPr>
                <w:sz w:val="20"/>
              </w:rPr>
              <w:t>0.716</w:t>
            </w:r>
          </w:p>
        </w:tc>
        <w:tc>
          <w:tcPr>
            <w:tcW w:type="dxa" w:w="975"/>
            <w:vAlign w:val="center"/>
          </w:tcPr>
          <w:p>
            <w:pPr>
              <w:jc w:val="center"/>
            </w:pPr>
            <w:r/>
            <w:r>
              <w:rPr>
                <w:sz w:val="20"/>
              </w:rPr>
              <w:t>3.92</w:t>
            </w:r>
          </w:p>
        </w:tc>
        <w:tc>
          <w:tcPr>
            <w:tcW w:type="dxa" w:w="975"/>
            <w:vAlign w:val="center"/>
          </w:tcPr>
          <w:p>
            <w:pPr>
              <w:jc w:val="center"/>
            </w:pPr>
            <w:r/>
            <w:r>
              <w:rPr>
                <w:sz w:val="20"/>
              </w:rPr>
              <w:t>39.2</w:t>
            </w:r>
          </w:p>
        </w:tc>
      </w:tr>
    </w:tbl>
    <w:p>
      <w:pPr>
        <w:spacing w:after="80"/>
      </w:pPr>
      <w:r>
        <w:rPr>
          <w:b w:val="0"/>
          <w:i w:val="0"/>
          <w:sz w:val="22"/>
        </w:rPr>
        <w:t>At 10 m² collector area the annual-TMY SEC drops to 0.488 kWh/kg at Kathmandu, 0.287 at Biratnagar, and 0.344 at Taplejung. Compared against the Config A open-loop baseline of the same site, these represent reductions of 32 %, 47 % and 39 % respectively. The driver is visible in the Q_solar column: 15.9 kWh delivered to Kathmandu, 22.8 kWh to Biratnagar, and 16.8 kWh to Taplejung over the drying run. The Biratnagar solar fraction reaches 0.80 (80 % of the total energy input to the air comes from the collector), Taplejung 0.72, and Kathmandu 0.63.</w:t>
      </w:r>
    </w:p>
    <w:p>
      <w:pPr>
        <w:spacing w:after="80"/>
      </w:pPr>
      <w:r>
        <w:rPr>
          <w:b w:val="0"/>
          <w:i w:val="0"/>
          <w:sz w:val="22"/>
        </w:rPr>
        <w:t>The ranking of the three sites reverses between Config A and Config B. In Config A, Biratnagar led because its warm ambient produced the highest COP; the climate penalty at Kathmandu was attributed almost entirely to the larger compressor lift. In Config B, Biratnagar leads by an even wider absolute margin (0.287 vs 0.488 at KTM) because the two advantages compound: the same warm ambient raises COP, and the same tropical climate also delivers more annual GHI. Taplejung's intermediate position reflects a tradeoff, its high altitude gives more direct-beam irradiance per year but its cooler air depresses COP.</w:t>
      </w:r>
    </w:p>
    <w:p>
      <w:pPr>
        <w:spacing w:after="80"/>
      </w:pPr>
      <w:r>
        <w:rPr>
          <w:b w:val="0"/>
          <w:i w:val="0"/>
          <w:sz w:val="22"/>
        </w:rPr>
        <w:t>Drying time stays close to the Config A range (13.85 to 14.45 h, within 0.7 h of the baseline) because the chamber-inlet temperature is still held at 45 °C at every timestep. Solar therefore does not shorten the drying run; it shifts the energy bill from the compressor to the collector.</w:t>
      </w:r>
    </w:p>
    <w:p>
      <w:pPr>
        <w:pStyle w:val="Heading2"/>
      </w:pPr>
      <w:r>
        <w:rPr>
          <w:color w:val="1F2D5A"/>
        </w:rPr>
        <w:t>2.3  Seasonal Variation</w:t>
      </w:r>
    </w:p>
    <w:p>
      <w:pPr>
        <w:spacing w:before="120" w:after="40"/>
      </w:pPr>
      <w:r>
        <w:rPr>
          <w:b/>
          <w:sz w:val="20"/>
        </w:rPr>
        <w:t>Table 5. Config B seasonal breakdown at r = 0, 10 m² collector.</w:t>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shd w:val="clear" w:color="auto" w:fill="E6ECF5"/>
          </w:tcPr>
          <w:p>
            <w:pPr>
              <w:jc w:val="center"/>
            </w:pPr>
            <w:r/>
            <w:r>
              <w:rPr>
                <w:b/>
                <w:sz w:val="20"/>
              </w:rPr>
              <w:t>Location</w:t>
            </w:r>
          </w:p>
        </w:tc>
        <w:tc>
          <w:tcPr>
            <w:tcW w:type="dxa" w:w="1083"/>
            <w:vAlign w:val="center"/>
            <w:shd w:val="clear" w:color="auto" w:fill="E6ECF5"/>
          </w:tcPr>
          <w:p>
            <w:pPr>
              <w:jc w:val="center"/>
            </w:pPr>
            <w:r/>
            <w:r>
              <w:rPr>
                <w:b/>
                <w:sz w:val="20"/>
              </w:rPr>
              <w:t>Season</w:t>
            </w:r>
          </w:p>
        </w:tc>
        <w:tc>
          <w:tcPr>
            <w:tcW w:type="dxa" w:w="1083"/>
            <w:vAlign w:val="center"/>
            <w:shd w:val="clear" w:color="auto" w:fill="E6ECF5"/>
          </w:tcPr>
          <w:p>
            <w:pPr>
              <w:jc w:val="center"/>
            </w:pPr>
            <w:r/>
            <w:r>
              <w:rPr>
                <w:b/>
                <w:sz w:val="20"/>
              </w:rPr>
              <w:t>T_amb (°C)</w:t>
            </w:r>
          </w:p>
        </w:tc>
        <w:tc>
          <w:tcPr>
            <w:tcW w:type="dxa" w:w="1083"/>
            <w:vAlign w:val="center"/>
            <w:shd w:val="clear" w:color="auto" w:fill="E6ECF5"/>
          </w:tcPr>
          <w:p>
            <w:pPr>
              <w:jc w:val="center"/>
            </w:pPr>
            <w:r/>
            <w:r>
              <w:rPr>
                <w:b/>
                <w:sz w:val="20"/>
              </w:rPr>
              <w:t>Time (h)</w:t>
            </w:r>
          </w:p>
        </w:tc>
        <w:tc>
          <w:tcPr>
            <w:tcW w:type="dxa" w:w="1083"/>
            <w:vAlign w:val="center"/>
            <w:shd w:val="clear" w:color="auto" w:fill="E6ECF5"/>
          </w:tcPr>
          <w:p>
            <w:pPr>
              <w:jc w:val="center"/>
            </w:pPr>
            <w:r/>
            <w:r>
              <w:rPr>
                <w:b/>
                <w:sz w:val="20"/>
              </w:rPr>
              <w:t>SEC (kWh/kg)</w:t>
            </w:r>
          </w:p>
        </w:tc>
        <w:tc>
          <w:tcPr>
            <w:tcW w:type="dxa" w:w="1083"/>
            <w:vAlign w:val="center"/>
            <w:shd w:val="clear" w:color="auto" w:fill="E6ECF5"/>
          </w:tcPr>
          <w:p>
            <w:pPr>
              <w:jc w:val="center"/>
            </w:pPr>
            <w:r/>
            <w:r>
              <w:rPr>
                <w:b/>
                <w:sz w:val="20"/>
              </w:rPr>
              <w:t>W_comp (kWh)</w:t>
            </w:r>
          </w:p>
        </w:tc>
        <w:tc>
          <w:tcPr>
            <w:tcW w:type="dxa" w:w="1083"/>
            <w:vAlign w:val="center"/>
            <w:shd w:val="clear" w:color="auto" w:fill="E6ECF5"/>
          </w:tcPr>
          <w:p>
            <w:pPr>
              <w:jc w:val="center"/>
            </w:pPr>
            <w:r/>
            <w:r>
              <w:rPr>
                <w:b/>
                <w:sz w:val="20"/>
              </w:rPr>
              <w:t>Q_solar (kWh)</w:t>
            </w:r>
          </w:p>
        </w:tc>
        <w:tc>
          <w:tcPr>
            <w:tcW w:type="dxa" w:w="1083"/>
            <w:vAlign w:val="center"/>
            <w:shd w:val="clear" w:color="auto" w:fill="E6ECF5"/>
          </w:tcPr>
          <w:p>
            <w:pPr>
              <w:jc w:val="center"/>
            </w:pPr>
            <w:r/>
            <w:r>
              <w:rPr>
                <w:b/>
                <w:sz w:val="20"/>
              </w:rPr>
              <w:t>Solar frac</w:t>
            </w:r>
          </w:p>
        </w:tc>
        <w:tc>
          <w:tcPr>
            <w:tcW w:type="dxa" w:w="1083"/>
            <w:vAlign w:val="center"/>
            <w:shd w:val="clear" w:color="auto" w:fill="E6ECF5"/>
          </w:tcPr>
          <w:p>
            <w:pPr>
              <w:jc w:val="center"/>
            </w:pPr>
            <w:r/>
            <w:r>
              <w:rPr>
                <w:b/>
                <w:sz w:val="20"/>
              </w:rPr>
              <w:t>COP</w:t>
            </w:r>
          </w:p>
        </w:tc>
      </w:tr>
      <w:tr>
        <w:tc>
          <w:tcPr>
            <w:tcW w:type="dxa" w:w="1083"/>
            <w:vAlign w:val="center"/>
          </w:tcPr>
          <w:p>
            <w:pPr>
              <w:jc w:val="left"/>
            </w:pPr>
            <w:r/>
            <w:r>
              <w:rPr>
                <w:b/>
                <w:sz w:val="20"/>
              </w:rPr>
              <w:t>Kathmandu</w:t>
            </w:r>
          </w:p>
        </w:tc>
        <w:tc>
          <w:tcPr>
            <w:tcW w:type="dxa" w:w="1083"/>
            <w:vAlign w:val="center"/>
          </w:tcPr>
          <w:p>
            <w:pPr>
              <w:jc w:val="center"/>
            </w:pPr>
            <w:r/>
            <w:r>
              <w:rPr>
                <w:sz w:val="20"/>
              </w:rPr>
              <w:t>Annual TMY</w:t>
            </w:r>
          </w:p>
        </w:tc>
        <w:tc>
          <w:tcPr>
            <w:tcW w:type="dxa" w:w="1083"/>
            <w:vAlign w:val="center"/>
          </w:tcPr>
          <w:p>
            <w:pPr>
              <w:jc w:val="center"/>
            </w:pPr>
            <w:r/>
            <w:r>
              <w:rPr>
                <w:sz w:val="20"/>
              </w:rPr>
              <w:t>15.7</w:t>
            </w:r>
          </w:p>
        </w:tc>
        <w:tc>
          <w:tcPr>
            <w:tcW w:type="dxa" w:w="1083"/>
            <w:vAlign w:val="center"/>
          </w:tcPr>
          <w:p>
            <w:pPr>
              <w:jc w:val="center"/>
            </w:pPr>
            <w:r/>
            <w:r>
              <w:rPr>
                <w:sz w:val="20"/>
              </w:rPr>
              <w:t>13.85</w:t>
            </w:r>
          </w:p>
        </w:tc>
        <w:tc>
          <w:tcPr>
            <w:tcW w:type="dxa" w:w="1083"/>
            <w:vAlign w:val="center"/>
          </w:tcPr>
          <w:p>
            <w:pPr>
              <w:jc w:val="center"/>
            </w:pPr>
            <w:r/>
            <w:r>
              <w:rPr>
                <w:sz w:val="20"/>
              </w:rPr>
              <w:t>0.488</w:t>
            </w:r>
          </w:p>
        </w:tc>
        <w:tc>
          <w:tcPr>
            <w:tcW w:type="dxa" w:w="1083"/>
            <w:vAlign w:val="center"/>
          </w:tcPr>
          <w:p>
            <w:pPr>
              <w:jc w:val="center"/>
            </w:pPr>
            <w:r/>
            <w:r>
              <w:rPr>
                <w:sz w:val="20"/>
              </w:rPr>
              <w:t>9.09</w:t>
            </w:r>
          </w:p>
        </w:tc>
        <w:tc>
          <w:tcPr>
            <w:tcW w:type="dxa" w:w="1083"/>
            <w:vAlign w:val="center"/>
          </w:tcPr>
          <w:p>
            <w:pPr>
              <w:jc w:val="center"/>
            </w:pPr>
            <w:r/>
            <w:r>
              <w:rPr>
                <w:sz w:val="20"/>
              </w:rPr>
              <w:t>15.9</w:t>
            </w:r>
          </w:p>
        </w:tc>
        <w:tc>
          <w:tcPr>
            <w:tcW w:type="dxa" w:w="1083"/>
            <w:vAlign w:val="center"/>
          </w:tcPr>
          <w:p>
            <w:pPr>
              <w:jc w:val="center"/>
            </w:pPr>
            <w:r/>
            <w:r>
              <w:rPr>
                <w:sz w:val="20"/>
              </w:rPr>
              <w:t>0.627</w:t>
            </w:r>
          </w:p>
        </w:tc>
        <w:tc>
          <w:tcPr>
            <w:tcW w:type="dxa" w:w="1083"/>
            <w:vAlign w:val="center"/>
          </w:tcPr>
          <w:p>
            <w:pPr>
              <w:jc w:val="center"/>
            </w:pPr>
            <w:r/>
            <w:r>
              <w:rPr>
                <w:sz w:val="20"/>
              </w:rPr>
              <w:t>3.63</w:t>
            </w:r>
          </w:p>
        </w:tc>
      </w:tr>
      <w:tr>
        <w:tc>
          <w:tcPr>
            <w:tcW w:type="dxa" w:w="1083"/>
            <w:vAlign w:val="center"/>
          </w:tcPr>
          <w:p>
            <w:pPr>
              <w:jc w:val="left"/>
            </w:pPr>
            <w:r/>
            <w:r>
              <w:rPr>
                <w:b/>
                <w:sz w:val="20"/>
              </w:rPr>
              <w:t>Kathmandu</w:t>
            </w:r>
          </w:p>
        </w:tc>
        <w:tc>
          <w:tcPr>
            <w:tcW w:type="dxa" w:w="1083"/>
            <w:vAlign w:val="center"/>
          </w:tcPr>
          <w:p>
            <w:pPr>
              <w:jc w:val="center"/>
            </w:pPr>
            <w:r/>
            <w:r>
              <w:rPr>
                <w:sz w:val="20"/>
              </w:rPr>
              <w:t>Autumn (Oct–Nov)</w:t>
            </w:r>
          </w:p>
        </w:tc>
        <w:tc>
          <w:tcPr>
            <w:tcW w:type="dxa" w:w="1083"/>
            <w:vAlign w:val="center"/>
          </w:tcPr>
          <w:p>
            <w:pPr>
              <w:jc w:val="center"/>
            </w:pPr>
            <w:r/>
            <w:r>
              <w:rPr>
                <w:sz w:val="20"/>
              </w:rPr>
              <w:t>15.1</w:t>
            </w:r>
          </w:p>
        </w:tc>
        <w:tc>
          <w:tcPr>
            <w:tcW w:type="dxa" w:w="1083"/>
            <w:vAlign w:val="center"/>
          </w:tcPr>
          <w:p>
            <w:pPr>
              <w:jc w:val="center"/>
            </w:pPr>
            <w:r/>
            <w:r>
              <w:rPr>
                <w:sz w:val="20"/>
              </w:rPr>
              <w:t>16.93</w:t>
            </w:r>
          </w:p>
        </w:tc>
        <w:tc>
          <w:tcPr>
            <w:tcW w:type="dxa" w:w="1083"/>
            <w:vAlign w:val="center"/>
          </w:tcPr>
          <w:p>
            <w:pPr>
              <w:jc w:val="center"/>
            </w:pPr>
            <w:r/>
            <w:r>
              <w:rPr>
                <w:sz w:val="20"/>
              </w:rPr>
              <w:t>0.289</w:t>
            </w:r>
          </w:p>
        </w:tc>
        <w:tc>
          <w:tcPr>
            <w:tcW w:type="dxa" w:w="1083"/>
            <w:vAlign w:val="center"/>
          </w:tcPr>
          <w:p>
            <w:pPr>
              <w:jc w:val="center"/>
            </w:pPr>
            <w:r/>
            <w:r>
              <w:rPr>
                <w:sz w:val="20"/>
              </w:rPr>
              <w:t>5.17</w:t>
            </w:r>
          </w:p>
        </w:tc>
        <w:tc>
          <w:tcPr>
            <w:tcW w:type="dxa" w:w="1083"/>
            <w:vAlign w:val="center"/>
          </w:tcPr>
          <w:p>
            <w:pPr>
              <w:jc w:val="center"/>
            </w:pPr>
            <w:r/>
            <w:r>
              <w:rPr>
                <w:sz w:val="20"/>
              </w:rPr>
              <w:t>24.5</w:t>
            </w:r>
          </w:p>
        </w:tc>
        <w:tc>
          <w:tcPr>
            <w:tcW w:type="dxa" w:w="1083"/>
            <w:vAlign w:val="center"/>
          </w:tcPr>
          <w:p>
            <w:pPr>
              <w:jc w:val="center"/>
            </w:pPr>
            <w:r/>
            <w:r>
              <w:rPr>
                <w:sz w:val="20"/>
              </w:rPr>
              <w:t>0.814</w:t>
            </w:r>
          </w:p>
        </w:tc>
        <w:tc>
          <w:tcPr>
            <w:tcW w:type="dxa" w:w="1083"/>
            <w:vAlign w:val="center"/>
          </w:tcPr>
          <w:p>
            <w:pPr>
              <w:jc w:val="center"/>
            </w:pPr>
            <w:r/>
            <w:r>
              <w:rPr>
                <w:sz w:val="20"/>
              </w:rPr>
              <w:t>4.53</w:t>
            </w:r>
          </w:p>
        </w:tc>
      </w:tr>
      <w:tr>
        <w:tc>
          <w:tcPr>
            <w:tcW w:type="dxa" w:w="1083"/>
            <w:vAlign w:val="center"/>
          </w:tcPr>
          <w:p>
            <w:pPr>
              <w:jc w:val="left"/>
            </w:pPr>
            <w:r/>
            <w:r>
              <w:rPr>
                <w:b/>
                <w:sz w:val="20"/>
              </w:rPr>
              <w:t>Kathmandu</w:t>
            </w:r>
          </w:p>
        </w:tc>
        <w:tc>
          <w:tcPr>
            <w:tcW w:type="dxa" w:w="1083"/>
            <w:vAlign w:val="center"/>
          </w:tcPr>
          <w:p>
            <w:pPr>
              <w:jc w:val="center"/>
            </w:pPr>
            <w:r/>
            <w:r>
              <w:rPr>
                <w:sz w:val="20"/>
              </w:rPr>
              <w:t>Winter (Dec–Jan)</w:t>
            </w:r>
          </w:p>
        </w:tc>
        <w:tc>
          <w:tcPr>
            <w:tcW w:type="dxa" w:w="1083"/>
            <w:vAlign w:val="center"/>
          </w:tcPr>
          <w:p>
            <w:pPr>
              <w:jc w:val="center"/>
            </w:pPr>
            <w:r/>
            <w:r>
              <w:rPr>
                <w:sz w:val="20"/>
              </w:rPr>
              <w:t>9.6</w:t>
            </w:r>
          </w:p>
        </w:tc>
        <w:tc>
          <w:tcPr>
            <w:tcW w:type="dxa" w:w="1083"/>
            <w:vAlign w:val="center"/>
          </w:tcPr>
          <w:p>
            <w:pPr>
              <w:jc w:val="center"/>
            </w:pPr>
            <w:r/>
            <w:r>
              <w:rPr>
                <w:sz w:val="20"/>
              </w:rPr>
              <w:t>13.40</w:t>
            </w:r>
          </w:p>
        </w:tc>
        <w:tc>
          <w:tcPr>
            <w:tcW w:type="dxa" w:w="1083"/>
            <w:vAlign w:val="center"/>
          </w:tcPr>
          <w:p>
            <w:pPr>
              <w:jc w:val="center"/>
            </w:pPr>
            <w:r/>
            <w:r>
              <w:rPr>
                <w:sz w:val="20"/>
              </w:rPr>
              <w:t>0.295</w:t>
            </w:r>
          </w:p>
        </w:tc>
        <w:tc>
          <w:tcPr>
            <w:tcW w:type="dxa" w:w="1083"/>
            <w:vAlign w:val="center"/>
          </w:tcPr>
          <w:p>
            <w:pPr>
              <w:jc w:val="center"/>
            </w:pPr>
            <w:r/>
            <w:r>
              <w:rPr>
                <w:sz w:val="20"/>
              </w:rPr>
              <w:t>5.38</w:t>
            </w:r>
          </w:p>
        </w:tc>
        <w:tc>
          <w:tcPr>
            <w:tcW w:type="dxa" w:w="1083"/>
            <w:vAlign w:val="center"/>
          </w:tcPr>
          <w:p>
            <w:pPr>
              <w:jc w:val="center"/>
            </w:pPr>
            <w:r/>
            <w:r>
              <w:rPr>
                <w:sz w:val="20"/>
              </w:rPr>
              <w:t>22.6</w:t>
            </w:r>
          </w:p>
        </w:tc>
        <w:tc>
          <w:tcPr>
            <w:tcW w:type="dxa" w:w="1083"/>
            <w:vAlign w:val="center"/>
          </w:tcPr>
          <w:p>
            <w:pPr>
              <w:jc w:val="center"/>
            </w:pPr>
            <w:r/>
            <w:r>
              <w:rPr>
                <w:sz w:val="20"/>
              </w:rPr>
              <w:t>0.798</w:t>
            </w:r>
          </w:p>
        </w:tc>
        <w:tc>
          <w:tcPr>
            <w:tcW w:type="dxa" w:w="1083"/>
            <w:vAlign w:val="center"/>
          </w:tcPr>
          <w:p>
            <w:pPr>
              <w:jc w:val="center"/>
            </w:pPr>
            <w:r/>
            <w:r>
              <w:rPr>
                <w:sz w:val="20"/>
              </w:rPr>
              <w:t>3.90</w:t>
            </w:r>
          </w:p>
        </w:tc>
      </w:tr>
      <w:tr>
        <w:tc>
          <w:tcPr>
            <w:tcW w:type="dxa" w:w="1083"/>
            <w:vAlign w:val="center"/>
          </w:tcPr>
          <w:p>
            <w:pPr>
              <w:jc w:val="left"/>
            </w:pPr>
            <w:r/>
            <w:r>
              <w:rPr>
                <w:b/>
                <w:sz w:val="20"/>
              </w:rPr>
              <w:t>Kathmandu</w:t>
            </w:r>
          </w:p>
        </w:tc>
        <w:tc>
          <w:tcPr>
            <w:tcW w:type="dxa" w:w="1083"/>
            <w:vAlign w:val="center"/>
          </w:tcPr>
          <w:p>
            <w:pPr>
              <w:jc w:val="center"/>
            </w:pPr>
            <w:r/>
            <w:r>
              <w:rPr>
                <w:sz w:val="20"/>
              </w:rPr>
              <w:t>Spring (Mar–Apr)</w:t>
            </w:r>
          </w:p>
        </w:tc>
        <w:tc>
          <w:tcPr>
            <w:tcW w:type="dxa" w:w="1083"/>
            <w:vAlign w:val="center"/>
          </w:tcPr>
          <w:p>
            <w:pPr>
              <w:jc w:val="center"/>
            </w:pPr>
            <w:r/>
            <w:r>
              <w:rPr>
                <w:sz w:val="20"/>
              </w:rPr>
              <w:t>15.5</w:t>
            </w:r>
          </w:p>
        </w:tc>
        <w:tc>
          <w:tcPr>
            <w:tcW w:type="dxa" w:w="1083"/>
            <w:vAlign w:val="center"/>
          </w:tcPr>
          <w:p>
            <w:pPr>
              <w:jc w:val="center"/>
            </w:pPr>
            <w:r/>
            <w:r>
              <w:rPr>
                <w:sz w:val="20"/>
              </w:rPr>
              <w:t>13.37</w:t>
            </w:r>
          </w:p>
        </w:tc>
        <w:tc>
          <w:tcPr>
            <w:tcW w:type="dxa" w:w="1083"/>
            <w:vAlign w:val="center"/>
          </w:tcPr>
          <w:p>
            <w:pPr>
              <w:jc w:val="center"/>
            </w:pPr>
            <w:r/>
            <w:r>
              <w:rPr>
                <w:sz w:val="20"/>
              </w:rPr>
              <w:t>0.182</w:t>
            </w:r>
          </w:p>
        </w:tc>
        <w:tc>
          <w:tcPr>
            <w:tcW w:type="dxa" w:w="1083"/>
            <w:vAlign w:val="center"/>
          </w:tcPr>
          <w:p>
            <w:pPr>
              <w:jc w:val="center"/>
            </w:pPr>
            <w:r/>
            <w:r>
              <w:rPr>
                <w:sz w:val="20"/>
              </w:rPr>
              <w:t>3.20</w:t>
            </w:r>
          </w:p>
        </w:tc>
        <w:tc>
          <w:tcPr>
            <w:tcW w:type="dxa" w:w="1083"/>
            <w:vAlign w:val="center"/>
          </w:tcPr>
          <w:p>
            <w:pPr>
              <w:jc w:val="center"/>
            </w:pPr>
            <w:r/>
            <w:r>
              <w:rPr>
                <w:sz w:val="20"/>
              </w:rPr>
              <w:t>33.2</w:t>
            </w:r>
          </w:p>
        </w:tc>
        <w:tc>
          <w:tcPr>
            <w:tcW w:type="dxa" w:w="1083"/>
            <w:vAlign w:val="center"/>
          </w:tcPr>
          <w:p>
            <w:pPr>
              <w:jc w:val="center"/>
            </w:pPr>
            <w:r/>
            <w:r>
              <w:rPr>
                <w:sz w:val="20"/>
              </w:rPr>
              <w:t>0.904</w:t>
            </w:r>
          </w:p>
        </w:tc>
        <w:tc>
          <w:tcPr>
            <w:tcW w:type="dxa" w:w="1083"/>
            <w:vAlign w:val="center"/>
          </w:tcPr>
          <w:p>
            <w:pPr>
              <w:jc w:val="center"/>
            </w:pPr>
            <w:r/>
            <w:r>
              <w:rPr>
                <w:sz w:val="20"/>
              </w:rPr>
              <w:t>4.15</w:t>
            </w:r>
          </w:p>
        </w:tc>
      </w:tr>
      <w:tr>
        <w:tc>
          <w:tcPr>
            <w:tcW w:type="dxa" w:w="1083"/>
            <w:vAlign w:val="center"/>
          </w:tcPr>
          <w:p>
            <w:pPr>
              <w:jc w:val="left"/>
            </w:pPr>
            <w:r/>
            <w:r>
              <w:rPr>
                <w:b/>
                <w:sz w:val="20"/>
              </w:rPr>
              <w:t>Biratnagar</w:t>
            </w:r>
          </w:p>
        </w:tc>
        <w:tc>
          <w:tcPr>
            <w:tcW w:type="dxa" w:w="1083"/>
            <w:vAlign w:val="center"/>
          </w:tcPr>
          <w:p>
            <w:pPr>
              <w:jc w:val="center"/>
            </w:pPr>
            <w:r/>
            <w:r>
              <w:rPr>
                <w:sz w:val="20"/>
              </w:rPr>
              <w:t>Annual TMY</w:t>
            </w:r>
          </w:p>
        </w:tc>
        <w:tc>
          <w:tcPr>
            <w:tcW w:type="dxa" w:w="1083"/>
            <w:vAlign w:val="center"/>
          </w:tcPr>
          <w:p>
            <w:pPr>
              <w:jc w:val="center"/>
            </w:pPr>
            <w:r/>
            <w:r>
              <w:rPr>
                <w:sz w:val="20"/>
              </w:rPr>
              <w:t>24.4</w:t>
            </w:r>
          </w:p>
        </w:tc>
        <w:tc>
          <w:tcPr>
            <w:tcW w:type="dxa" w:w="1083"/>
            <w:vAlign w:val="center"/>
          </w:tcPr>
          <w:p>
            <w:pPr>
              <w:jc w:val="center"/>
            </w:pPr>
            <w:r/>
            <w:r>
              <w:rPr>
                <w:sz w:val="20"/>
              </w:rPr>
              <w:t>14.45</w:t>
            </w:r>
          </w:p>
        </w:tc>
        <w:tc>
          <w:tcPr>
            <w:tcW w:type="dxa" w:w="1083"/>
            <w:vAlign w:val="center"/>
          </w:tcPr>
          <w:p>
            <w:pPr>
              <w:jc w:val="center"/>
            </w:pPr>
            <w:r/>
            <w:r>
              <w:rPr>
                <w:sz w:val="20"/>
              </w:rPr>
              <w:t>0.287</w:t>
            </w:r>
          </w:p>
        </w:tc>
        <w:tc>
          <w:tcPr>
            <w:tcW w:type="dxa" w:w="1083"/>
            <w:vAlign w:val="center"/>
          </w:tcPr>
          <w:p>
            <w:pPr>
              <w:jc w:val="center"/>
            </w:pPr>
            <w:r/>
            <w:r>
              <w:rPr>
                <w:sz w:val="20"/>
              </w:rPr>
              <w:t>5.18</w:t>
            </w:r>
          </w:p>
        </w:tc>
        <w:tc>
          <w:tcPr>
            <w:tcW w:type="dxa" w:w="1083"/>
            <w:vAlign w:val="center"/>
          </w:tcPr>
          <w:p>
            <w:pPr>
              <w:jc w:val="center"/>
            </w:pPr>
            <w:r/>
            <w:r>
              <w:rPr>
                <w:sz w:val="20"/>
              </w:rPr>
              <w:t>22.8</w:t>
            </w:r>
          </w:p>
        </w:tc>
        <w:tc>
          <w:tcPr>
            <w:tcW w:type="dxa" w:w="1083"/>
            <w:vAlign w:val="center"/>
          </w:tcPr>
          <w:p>
            <w:pPr>
              <w:jc w:val="center"/>
            </w:pPr>
            <w:r/>
            <w:r>
              <w:rPr>
                <w:sz w:val="20"/>
              </w:rPr>
              <w:t>0.804</w:t>
            </w:r>
          </w:p>
        </w:tc>
        <w:tc>
          <w:tcPr>
            <w:tcW w:type="dxa" w:w="1083"/>
            <w:vAlign w:val="center"/>
          </w:tcPr>
          <w:p>
            <w:pPr>
              <w:jc w:val="center"/>
            </w:pPr>
            <w:r/>
            <w:r>
              <w:rPr>
                <w:sz w:val="20"/>
              </w:rPr>
              <w:t>4.43</w:t>
            </w:r>
          </w:p>
        </w:tc>
      </w:tr>
      <w:tr>
        <w:tc>
          <w:tcPr>
            <w:tcW w:type="dxa" w:w="1083"/>
            <w:vAlign w:val="center"/>
          </w:tcPr>
          <w:p>
            <w:pPr>
              <w:jc w:val="left"/>
            </w:pPr>
            <w:r/>
            <w:r>
              <w:rPr>
                <w:b/>
                <w:sz w:val="20"/>
              </w:rPr>
              <w:t>Biratnagar</w:t>
            </w:r>
          </w:p>
        </w:tc>
        <w:tc>
          <w:tcPr>
            <w:tcW w:type="dxa" w:w="1083"/>
            <w:vAlign w:val="center"/>
          </w:tcPr>
          <w:p>
            <w:pPr>
              <w:jc w:val="center"/>
            </w:pPr>
            <w:r/>
            <w:r>
              <w:rPr>
                <w:sz w:val="20"/>
              </w:rPr>
              <w:t>Autumn (Oct–Nov)</w:t>
            </w:r>
          </w:p>
        </w:tc>
        <w:tc>
          <w:tcPr>
            <w:tcW w:type="dxa" w:w="1083"/>
            <w:vAlign w:val="center"/>
          </w:tcPr>
          <w:p>
            <w:pPr>
              <w:jc w:val="center"/>
            </w:pPr>
            <w:r/>
            <w:r>
              <w:rPr>
                <w:sz w:val="20"/>
              </w:rPr>
              <w:t>23.4</w:t>
            </w:r>
          </w:p>
        </w:tc>
        <w:tc>
          <w:tcPr>
            <w:tcW w:type="dxa" w:w="1083"/>
            <w:vAlign w:val="center"/>
          </w:tcPr>
          <w:p>
            <w:pPr>
              <w:jc w:val="center"/>
            </w:pPr>
            <w:r/>
            <w:r>
              <w:rPr>
                <w:sz w:val="20"/>
              </w:rPr>
              <w:t>20.03</w:t>
            </w:r>
          </w:p>
        </w:tc>
        <w:tc>
          <w:tcPr>
            <w:tcW w:type="dxa" w:w="1083"/>
            <w:vAlign w:val="center"/>
          </w:tcPr>
          <w:p>
            <w:pPr>
              <w:jc w:val="center"/>
            </w:pPr>
            <w:r/>
            <w:r>
              <w:rPr>
                <w:sz w:val="20"/>
              </w:rPr>
              <w:t>0.267</w:t>
            </w:r>
          </w:p>
        </w:tc>
        <w:tc>
          <w:tcPr>
            <w:tcW w:type="dxa" w:w="1083"/>
            <w:vAlign w:val="center"/>
          </w:tcPr>
          <w:p>
            <w:pPr>
              <w:jc w:val="center"/>
            </w:pPr>
            <w:r/>
            <w:r>
              <w:rPr>
                <w:sz w:val="20"/>
              </w:rPr>
              <w:t>4.65</w:t>
            </w:r>
          </w:p>
        </w:tc>
        <w:tc>
          <w:tcPr>
            <w:tcW w:type="dxa" w:w="1083"/>
            <w:vAlign w:val="center"/>
          </w:tcPr>
          <w:p>
            <w:pPr>
              <w:jc w:val="center"/>
            </w:pPr>
            <w:r/>
            <w:r>
              <w:rPr>
                <w:sz w:val="20"/>
              </w:rPr>
              <w:t>23.1</w:t>
            </w:r>
          </w:p>
        </w:tc>
        <w:tc>
          <w:tcPr>
            <w:tcW w:type="dxa" w:w="1083"/>
            <w:vAlign w:val="center"/>
          </w:tcPr>
          <w:p>
            <w:pPr>
              <w:jc w:val="center"/>
            </w:pPr>
            <w:r/>
            <w:r>
              <w:rPr>
                <w:sz w:val="20"/>
              </w:rPr>
              <w:t>0.818</w:t>
            </w:r>
          </w:p>
        </w:tc>
        <w:tc>
          <w:tcPr>
            <w:tcW w:type="dxa" w:w="1083"/>
            <w:vAlign w:val="center"/>
          </w:tcPr>
          <w:p>
            <w:pPr>
              <w:jc w:val="center"/>
            </w:pPr>
            <w:r/>
            <w:r>
              <w:rPr>
                <w:sz w:val="20"/>
              </w:rPr>
              <w:t>5.45</w:t>
            </w:r>
          </w:p>
        </w:tc>
      </w:tr>
      <w:tr>
        <w:tc>
          <w:tcPr>
            <w:tcW w:type="dxa" w:w="1083"/>
            <w:vAlign w:val="center"/>
          </w:tcPr>
          <w:p>
            <w:pPr>
              <w:jc w:val="left"/>
            </w:pPr>
            <w:r/>
            <w:r>
              <w:rPr>
                <w:b/>
                <w:sz w:val="20"/>
              </w:rPr>
              <w:t>Biratnagar</w:t>
            </w:r>
          </w:p>
        </w:tc>
        <w:tc>
          <w:tcPr>
            <w:tcW w:type="dxa" w:w="1083"/>
            <w:vAlign w:val="center"/>
          </w:tcPr>
          <w:p>
            <w:pPr>
              <w:jc w:val="center"/>
            </w:pPr>
            <w:r/>
            <w:r>
              <w:rPr>
                <w:sz w:val="20"/>
              </w:rPr>
              <w:t>Winter (Dec–Jan)</w:t>
            </w:r>
          </w:p>
        </w:tc>
        <w:tc>
          <w:tcPr>
            <w:tcW w:type="dxa" w:w="1083"/>
            <w:vAlign w:val="center"/>
          </w:tcPr>
          <w:p>
            <w:pPr>
              <w:jc w:val="center"/>
            </w:pPr>
            <w:r/>
            <w:r>
              <w:rPr>
                <w:sz w:val="20"/>
              </w:rPr>
              <w:t>17.7</w:t>
            </w:r>
          </w:p>
        </w:tc>
        <w:tc>
          <w:tcPr>
            <w:tcW w:type="dxa" w:w="1083"/>
            <w:vAlign w:val="center"/>
          </w:tcPr>
          <w:p>
            <w:pPr>
              <w:jc w:val="center"/>
            </w:pPr>
            <w:r/>
            <w:r>
              <w:rPr>
                <w:sz w:val="20"/>
              </w:rPr>
              <w:t>15.45</w:t>
            </w:r>
          </w:p>
        </w:tc>
        <w:tc>
          <w:tcPr>
            <w:tcW w:type="dxa" w:w="1083"/>
            <w:vAlign w:val="center"/>
          </w:tcPr>
          <w:p>
            <w:pPr>
              <w:jc w:val="center"/>
            </w:pPr>
            <w:r/>
            <w:r>
              <w:rPr>
                <w:sz w:val="20"/>
              </w:rPr>
              <w:t>0.240</w:t>
            </w:r>
          </w:p>
        </w:tc>
        <w:tc>
          <w:tcPr>
            <w:tcW w:type="dxa" w:w="1083"/>
            <w:vAlign w:val="center"/>
          </w:tcPr>
          <w:p>
            <w:pPr>
              <w:jc w:val="center"/>
            </w:pPr>
            <w:r/>
            <w:r>
              <w:rPr>
                <w:sz w:val="20"/>
              </w:rPr>
              <w:t>4.25</w:t>
            </w:r>
          </w:p>
        </w:tc>
        <w:tc>
          <w:tcPr>
            <w:tcW w:type="dxa" w:w="1083"/>
            <w:vAlign w:val="center"/>
          </w:tcPr>
          <w:p>
            <w:pPr>
              <w:jc w:val="center"/>
            </w:pPr>
            <w:r/>
            <w:r>
              <w:rPr>
                <w:sz w:val="20"/>
              </w:rPr>
              <w:t>19.8</w:t>
            </w:r>
          </w:p>
        </w:tc>
        <w:tc>
          <w:tcPr>
            <w:tcW w:type="dxa" w:w="1083"/>
            <w:vAlign w:val="center"/>
          </w:tcPr>
          <w:p>
            <w:pPr>
              <w:jc w:val="center"/>
            </w:pPr>
            <w:r/>
            <w:r>
              <w:rPr>
                <w:sz w:val="20"/>
              </w:rPr>
              <w:t>0.811</w:t>
            </w:r>
          </w:p>
        </w:tc>
        <w:tc>
          <w:tcPr>
            <w:tcW w:type="dxa" w:w="1083"/>
            <w:vAlign w:val="center"/>
          </w:tcPr>
          <w:p>
            <w:pPr>
              <w:jc w:val="center"/>
            </w:pPr>
            <w:r/>
            <w:r>
              <w:rPr>
                <w:sz w:val="20"/>
              </w:rPr>
              <w:t>4.98</w:t>
            </w:r>
          </w:p>
        </w:tc>
      </w:tr>
      <w:tr>
        <w:tc>
          <w:tcPr>
            <w:tcW w:type="dxa" w:w="1083"/>
            <w:vAlign w:val="center"/>
          </w:tcPr>
          <w:p>
            <w:pPr>
              <w:jc w:val="left"/>
            </w:pPr>
            <w:r/>
            <w:r>
              <w:rPr>
                <w:b/>
                <w:sz w:val="20"/>
              </w:rPr>
              <w:t>Biratnagar</w:t>
            </w:r>
          </w:p>
        </w:tc>
        <w:tc>
          <w:tcPr>
            <w:tcW w:type="dxa" w:w="1083"/>
            <w:vAlign w:val="center"/>
          </w:tcPr>
          <w:p>
            <w:pPr>
              <w:jc w:val="center"/>
            </w:pPr>
            <w:r/>
            <w:r>
              <w:rPr>
                <w:sz w:val="20"/>
              </w:rPr>
              <w:t>Spring (Mar–Apr)</w:t>
            </w:r>
          </w:p>
        </w:tc>
        <w:tc>
          <w:tcPr>
            <w:tcW w:type="dxa" w:w="1083"/>
            <w:vAlign w:val="center"/>
          </w:tcPr>
          <w:p>
            <w:pPr>
              <w:jc w:val="center"/>
            </w:pPr>
            <w:r/>
            <w:r>
              <w:rPr>
                <w:sz w:val="20"/>
              </w:rPr>
              <w:t>26.2</w:t>
            </w:r>
          </w:p>
        </w:tc>
        <w:tc>
          <w:tcPr>
            <w:tcW w:type="dxa" w:w="1083"/>
            <w:vAlign w:val="center"/>
          </w:tcPr>
          <w:p>
            <w:pPr>
              <w:jc w:val="center"/>
            </w:pPr>
            <w:r/>
            <w:r>
              <w:rPr>
                <w:sz w:val="20"/>
              </w:rPr>
              <w:t>13.53</w:t>
            </w:r>
          </w:p>
        </w:tc>
        <w:tc>
          <w:tcPr>
            <w:tcW w:type="dxa" w:w="1083"/>
            <w:vAlign w:val="center"/>
          </w:tcPr>
          <w:p>
            <w:pPr>
              <w:jc w:val="center"/>
            </w:pPr>
            <w:r/>
            <w:r>
              <w:rPr>
                <w:sz w:val="20"/>
              </w:rPr>
              <w:t>0.128</w:t>
            </w:r>
          </w:p>
        </w:tc>
        <w:tc>
          <w:tcPr>
            <w:tcW w:type="dxa" w:w="1083"/>
            <w:vAlign w:val="center"/>
          </w:tcPr>
          <w:p>
            <w:pPr>
              <w:jc w:val="center"/>
            </w:pPr>
            <w:r/>
            <w:r>
              <w:rPr>
                <w:sz w:val="20"/>
              </w:rPr>
              <w:t>2.14</w:t>
            </w:r>
          </w:p>
        </w:tc>
        <w:tc>
          <w:tcPr>
            <w:tcW w:type="dxa" w:w="1083"/>
            <w:vAlign w:val="center"/>
          </w:tcPr>
          <w:p>
            <w:pPr>
              <w:jc w:val="center"/>
            </w:pPr>
            <w:r/>
            <w:r>
              <w:rPr>
                <w:sz w:val="20"/>
              </w:rPr>
              <w:t>33.9</w:t>
            </w:r>
          </w:p>
        </w:tc>
        <w:tc>
          <w:tcPr>
            <w:tcW w:type="dxa" w:w="1083"/>
            <w:vAlign w:val="center"/>
          </w:tcPr>
          <w:p>
            <w:pPr>
              <w:jc w:val="center"/>
            </w:pPr>
            <w:r/>
            <w:r>
              <w:rPr>
                <w:sz w:val="20"/>
              </w:rPr>
              <w:t>0.932</w:t>
            </w:r>
          </w:p>
        </w:tc>
        <w:tc>
          <w:tcPr>
            <w:tcW w:type="dxa" w:w="1083"/>
            <w:vAlign w:val="center"/>
          </w:tcPr>
          <w:p>
            <w:pPr>
              <w:jc w:val="center"/>
            </w:pPr>
            <w:r/>
            <w:r>
              <w:rPr>
                <w:sz w:val="20"/>
              </w:rPr>
              <w:t>5.02</w:t>
            </w:r>
          </w:p>
        </w:tc>
      </w:tr>
      <w:tr>
        <w:tc>
          <w:tcPr>
            <w:tcW w:type="dxa" w:w="1083"/>
            <w:vAlign w:val="center"/>
          </w:tcPr>
          <w:p>
            <w:pPr>
              <w:jc w:val="left"/>
            </w:pPr>
            <w:r/>
            <w:r>
              <w:rPr>
                <w:b/>
                <w:sz w:val="20"/>
              </w:rPr>
              <w:t>Taplejung</w:t>
            </w:r>
          </w:p>
        </w:tc>
        <w:tc>
          <w:tcPr>
            <w:tcW w:type="dxa" w:w="1083"/>
            <w:vAlign w:val="center"/>
          </w:tcPr>
          <w:p>
            <w:pPr>
              <w:jc w:val="center"/>
            </w:pPr>
            <w:r/>
            <w:r>
              <w:rPr>
                <w:sz w:val="20"/>
              </w:rPr>
              <w:t>Annual TMY</w:t>
            </w:r>
          </w:p>
        </w:tc>
        <w:tc>
          <w:tcPr>
            <w:tcW w:type="dxa" w:w="1083"/>
            <w:vAlign w:val="center"/>
          </w:tcPr>
          <w:p>
            <w:pPr>
              <w:jc w:val="center"/>
            </w:pPr>
            <w:r/>
            <w:r>
              <w:rPr>
                <w:sz w:val="20"/>
              </w:rPr>
              <w:t>16.8</w:t>
            </w:r>
          </w:p>
        </w:tc>
        <w:tc>
          <w:tcPr>
            <w:tcW w:type="dxa" w:w="1083"/>
            <w:vAlign w:val="center"/>
          </w:tcPr>
          <w:p>
            <w:pPr>
              <w:jc w:val="center"/>
            </w:pPr>
            <w:r/>
            <w:r>
              <w:rPr>
                <w:sz w:val="20"/>
              </w:rPr>
              <w:t>13.97</w:t>
            </w:r>
          </w:p>
        </w:tc>
        <w:tc>
          <w:tcPr>
            <w:tcW w:type="dxa" w:w="1083"/>
            <w:vAlign w:val="center"/>
          </w:tcPr>
          <w:p>
            <w:pPr>
              <w:jc w:val="center"/>
            </w:pPr>
            <w:r/>
            <w:r>
              <w:rPr>
                <w:sz w:val="20"/>
              </w:rPr>
              <w:t>0.344</w:t>
            </w:r>
          </w:p>
        </w:tc>
        <w:tc>
          <w:tcPr>
            <w:tcW w:type="dxa" w:w="1083"/>
            <w:vAlign w:val="center"/>
          </w:tcPr>
          <w:p>
            <w:pPr>
              <w:jc w:val="center"/>
            </w:pPr>
            <w:r/>
            <w:r>
              <w:rPr>
                <w:sz w:val="20"/>
              </w:rPr>
              <w:t>6.32</w:t>
            </w:r>
          </w:p>
        </w:tc>
        <w:tc>
          <w:tcPr>
            <w:tcW w:type="dxa" w:w="1083"/>
            <w:vAlign w:val="center"/>
          </w:tcPr>
          <w:p>
            <w:pPr>
              <w:jc w:val="center"/>
            </w:pPr>
            <w:r/>
            <w:r>
              <w:rPr>
                <w:sz w:val="20"/>
              </w:rPr>
              <w:t>16.8</w:t>
            </w:r>
          </w:p>
        </w:tc>
        <w:tc>
          <w:tcPr>
            <w:tcW w:type="dxa" w:w="1083"/>
            <w:vAlign w:val="center"/>
          </w:tcPr>
          <w:p>
            <w:pPr>
              <w:jc w:val="center"/>
            </w:pPr>
            <w:r/>
            <w:r>
              <w:rPr>
                <w:sz w:val="20"/>
              </w:rPr>
              <w:t>0.716</w:t>
            </w:r>
          </w:p>
        </w:tc>
        <w:tc>
          <w:tcPr>
            <w:tcW w:type="dxa" w:w="1083"/>
            <w:vAlign w:val="center"/>
          </w:tcPr>
          <w:p>
            <w:pPr>
              <w:jc w:val="center"/>
            </w:pPr>
            <w:r/>
            <w:r>
              <w:rPr>
                <w:sz w:val="20"/>
              </w:rPr>
              <w:t>3.92</w:t>
            </w:r>
          </w:p>
        </w:tc>
      </w:tr>
      <w:tr>
        <w:tc>
          <w:tcPr>
            <w:tcW w:type="dxa" w:w="1083"/>
            <w:vAlign w:val="center"/>
          </w:tcPr>
          <w:p>
            <w:pPr>
              <w:jc w:val="left"/>
            </w:pPr>
            <w:r/>
            <w:r>
              <w:rPr>
                <w:b/>
                <w:sz w:val="20"/>
              </w:rPr>
              <w:t>Taplejung</w:t>
            </w:r>
          </w:p>
        </w:tc>
        <w:tc>
          <w:tcPr>
            <w:tcW w:type="dxa" w:w="1083"/>
            <w:vAlign w:val="center"/>
          </w:tcPr>
          <w:p>
            <w:pPr>
              <w:jc w:val="center"/>
            </w:pPr>
            <w:r/>
            <w:r>
              <w:rPr>
                <w:sz w:val="20"/>
              </w:rPr>
              <w:t>Autumn (Oct–Nov)</w:t>
            </w:r>
          </w:p>
        </w:tc>
        <w:tc>
          <w:tcPr>
            <w:tcW w:type="dxa" w:w="1083"/>
            <w:vAlign w:val="center"/>
          </w:tcPr>
          <w:p>
            <w:pPr>
              <w:jc w:val="center"/>
            </w:pPr>
            <w:r/>
            <w:r>
              <w:rPr>
                <w:sz w:val="20"/>
              </w:rPr>
              <w:t>16.0</w:t>
            </w:r>
          </w:p>
        </w:tc>
        <w:tc>
          <w:tcPr>
            <w:tcW w:type="dxa" w:w="1083"/>
            <w:vAlign w:val="center"/>
          </w:tcPr>
          <w:p>
            <w:pPr>
              <w:jc w:val="center"/>
            </w:pPr>
            <w:r/>
            <w:r>
              <w:rPr>
                <w:sz w:val="20"/>
              </w:rPr>
              <w:t>17.07</w:t>
            </w:r>
          </w:p>
        </w:tc>
        <w:tc>
          <w:tcPr>
            <w:tcW w:type="dxa" w:w="1083"/>
            <w:vAlign w:val="center"/>
          </w:tcPr>
          <w:p>
            <w:pPr>
              <w:jc w:val="center"/>
            </w:pPr>
            <w:r/>
            <w:r>
              <w:rPr>
                <w:sz w:val="20"/>
              </w:rPr>
              <w:t>0.243</w:t>
            </w:r>
          </w:p>
        </w:tc>
        <w:tc>
          <w:tcPr>
            <w:tcW w:type="dxa" w:w="1083"/>
            <w:vAlign w:val="center"/>
          </w:tcPr>
          <w:p>
            <w:pPr>
              <w:jc w:val="center"/>
            </w:pPr>
            <w:r/>
            <w:r>
              <w:rPr>
                <w:sz w:val="20"/>
              </w:rPr>
              <w:t>4.27</w:t>
            </w:r>
          </w:p>
        </w:tc>
        <w:tc>
          <w:tcPr>
            <w:tcW w:type="dxa" w:w="1083"/>
            <w:vAlign w:val="center"/>
          </w:tcPr>
          <w:p>
            <w:pPr>
              <w:jc w:val="center"/>
            </w:pPr>
            <w:r/>
            <w:r>
              <w:rPr>
                <w:sz w:val="20"/>
              </w:rPr>
              <w:t>27.9</w:t>
            </w:r>
          </w:p>
        </w:tc>
        <w:tc>
          <w:tcPr>
            <w:tcW w:type="dxa" w:w="1083"/>
            <w:vAlign w:val="center"/>
          </w:tcPr>
          <w:p>
            <w:pPr>
              <w:jc w:val="center"/>
            </w:pPr>
            <w:r/>
            <w:r>
              <w:rPr>
                <w:sz w:val="20"/>
              </w:rPr>
              <w:t>0.856</w:t>
            </w:r>
          </w:p>
        </w:tc>
        <w:tc>
          <w:tcPr>
            <w:tcW w:type="dxa" w:w="1083"/>
            <w:vAlign w:val="center"/>
          </w:tcPr>
          <w:p>
            <w:pPr>
              <w:jc w:val="center"/>
            </w:pPr>
            <w:r/>
            <w:r>
              <w:rPr>
                <w:sz w:val="20"/>
              </w:rPr>
              <w:t>4.63</w:t>
            </w:r>
          </w:p>
        </w:tc>
      </w:tr>
      <w:tr>
        <w:tc>
          <w:tcPr>
            <w:tcW w:type="dxa" w:w="1083"/>
            <w:vAlign w:val="center"/>
          </w:tcPr>
          <w:p>
            <w:pPr>
              <w:jc w:val="left"/>
            </w:pPr>
            <w:r/>
            <w:r>
              <w:rPr>
                <w:b/>
                <w:sz w:val="20"/>
              </w:rPr>
              <w:t>Taplejung</w:t>
            </w:r>
          </w:p>
        </w:tc>
        <w:tc>
          <w:tcPr>
            <w:tcW w:type="dxa" w:w="1083"/>
            <w:vAlign w:val="center"/>
          </w:tcPr>
          <w:p>
            <w:pPr>
              <w:jc w:val="center"/>
            </w:pPr>
            <w:r/>
            <w:r>
              <w:rPr>
                <w:sz w:val="20"/>
              </w:rPr>
              <w:t>Winter (Dec–Jan)</w:t>
            </w:r>
          </w:p>
        </w:tc>
        <w:tc>
          <w:tcPr>
            <w:tcW w:type="dxa" w:w="1083"/>
            <w:vAlign w:val="center"/>
          </w:tcPr>
          <w:p>
            <w:pPr>
              <w:jc w:val="center"/>
            </w:pPr>
            <w:r/>
            <w:r>
              <w:rPr>
                <w:sz w:val="20"/>
              </w:rPr>
              <w:t>10.3</w:t>
            </w:r>
          </w:p>
        </w:tc>
        <w:tc>
          <w:tcPr>
            <w:tcW w:type="dxa" w:w="1083"/>
            <w:vAlign w:val="center"/>
          </w:tcPr>
          <w:p>
            <w:pPr>
              <w:jc w:val="center"/>
            </w:pPr>
            <w:r/>
            <w:r>
              <w:rPr>
                <w:sz w:val="20"/>
              </w:rPr>
              <w:t>14.80</w:t>
            </w:r>
          </w:p>
        </w:tc>
        <w:tc>
          <w:tcPr>
            <w:tcW w:type="dxa" w:w="1083"/>
            <w:vAlign w:val="center"/>
          </w:tcPr>
          <w:p>
            <w:pPr>
              <w:jc w:val="center"/>
            </w:pPr>
            <w:r/>
            <w:r>
              <w:rPr>
                <w:sz w:val="20"/>
              </w:rPr>
              <w:t>0.379</w:t>
            </w:r>
          </w:p>
        </w:tc>
        <w:tc>
          <w:tcPr>
            <w:tcW w:type="dxa" w:w="1083"/>
            <w:vAlign w:val="center"/>
          </w:tcPr>
          <w:p>
            <w:pPr>
              <w:jc w:val="center"/>
            </w:pPr>
            <w:r/>
            <w:r>
              <w:rPr>
                <w:sz w:val="20"/>
              </w:rPr>
              <w:t>6.96</w:t>
            </w:r>
          </w:p>
        </w:tc>
        <w:tc>
          <w:tcPr>
            <w:tcW w:type="dxa" w:w="1083"/>
            <w:vAlign w:val="center"/>
          </w:tcPr>
          <w:p>
            <w:pPr>
              <w:jc w:val="center"/>
            </w:pPr>
            <w:r/>
            <w:r>
              <w:rPr>
                <w:sz w:val="20"/>
              </w:rPr>
              <w:t>18.9</w:t>
            </w:r>
          </w:p>
        </w:tc>
        <w:tc>
          <w:tcPr>
            <w:tcW w:type="dxa" w:w="1083"/>
            <w:vAlign w:val="center"/>
          </w:tcPr>
          <w:p>
            <w:pPr>
              <w:jc w:val="center"/>
            </w:pPr>
            <w:r/>
            <w:r>
              <w:rPr>
                <w:sz w:val="20"/>
              </w:rPr>
              <w:t>0.721</w:t>
            </w:r>
          </w:p>
        </w:tc>
        <w:tc>
          <w:tcPr>
            <w:tcW w:type="dxa" w:w="1083"/>
            <w:vAlign w:val="center"/>
          </w:tcPr>
          <w:p>
            <w:pPr>
              <w:jc w:val="center"/>
            </w:pPr>
            <w:r/>
            <w:r>
              <w:rPr>
                <w:sz w:val="20"/>
              </w:rPr>
              <w:t>3.87</w:t>
            </w:r>
          </w:p>
        </w:tc>
      </w:tr>
      <w:tr>
        <w:tc>
          <w:tcPr>
            <w:tcW w:type="dxa" w:w="1083"/>
            <w:vAlign w:val="center"/>
          </w:tcPr>
          <w:p>
            <w:pPr>
              <w:jc w:val="left"/>
            </w:pPr>
            <w:r/>
            <w:r>
              <w:rPr>
                <w:b/>
                <w:sz w:val="20"/>
              </w:rPr>
              <w:t>Taplejung</w:t>
            </w:r>
          </w:p>
        </w:tc>
        <w:tc>
          <w:tcPr>
            <w:tcW w:type="dxa" w:w="1083"/>
            <w:vAlign w:val="center"/>
          </w:tcPr>
          <w:p>
            <w:pPr>
              <w:jc w:val="center"/>
            </w:pPr>
            <w:r/>
            <w:r>
              <w:rPr>
                <w:sz w:val="20"/>
              </w:rPr>
              <w:t>Spring (Mar–Apr)</w:t>
            </w:r>
          </w:p>
        </w:tc>
        <w:tc>
          <w:tcPr>
            <w:tcW w:type="dxa" w:w="1083"/>
            <w:vAlign w:val="center"/>
          </w:tcPr>
          <w:p>
            <w:pPr>
              <w:jc w:val="center"/>
            </w:pPr>
            <w:r/>
            <w:r>
              <w:rPr>
                <w:sz w:val="20"/>
              </w:rPr>
              <w:t>17.2</w:t>
            </w:r>
          </w:p>
        </w:tc>
        <w:tc>
          <w:tcPr>
            <w:tcW w:type="dxa" w:w="1083"/>
            <w:vAlign w:val="center"/>
          </w:tcPr>
          <w:p>
            <w:pPr>
              <w:jc w:val="center"/>
            </w:pPr>
            <w:r/>
            <w:r>
              <w:rPr>
                <w:sz w:val="20"/>
              </w:rPr>
              <w:t>14.02</w:t>
            </w:r>
          </w:p>
        </w:tc>
        <w:tc>
          <w:tcPr>
            <w:tcW w:type="dxa" w:w="1083"/>
            <w:vAlign w:val="center"/>
          </w:tcPr>
          <w:p>
            <w:pPr>
              <w:jc w:val="center"/>
            </w:pPr>
            <w:r/>
            <w:r>
              <w:rPr>
                <w:sz w:val="20"/>
              </w:rPr>
              <w:t>0.212</w:t>
            </w:r>
          </w:p>
        </w:tc>
        <w:tc>
          <w:tcPr>
            <w:tcW w:type="dxa" w:w="1083"/>
            <w:vAlign w:val="center"/>
          </w:tcPr>
          <w:p>
            <w:pPr>
              <w:jc w:val="center"/>
            </w:pPr>
            <w:r/>
            <w:r>
              <w:rPr>
                <w:sz w:val="20"/>
              </w:rPr>
              <w:t>3.75</w:t>
            </w:r>
          </w:p>
        </w:tc>
        <w:tc>
          <w:tcPr>
            <w:tcW w:type="dxa" w:w="1083"/>
            <w:vAlign w:val="center"/>
          </w:tcPr>
          <w:p>
            <w:pPr>
              <w:jc w:val="center"/>
            </w:pPr>
            <w:r/>
            <w:r>
              <w:rPr>
                <w:sz w:val="20"/>
              </w:rPr>
              <w:t>28.7</w:t>
            </w:r>
          </w:p>
        </w:tc>
        <w:tc>
          <w:tcPr>
            <w:tcW w:type="dxa" w:w="1083"/>
            <w:vAlign w:val="center"/>
          </w:tcPr>
          <w:p>
            <w:pPr>
              <w:jc w:val="center"/>
            </w:pPr>
            <w:r/>
            <w:r>
              <w:rPr>
                <w:sz w:val="20"/>
              </w:rPr>
              <w:t>0.875</w:t>
            </w:r>
          </w:p>
        </w:tc>
        <w:tc>
          <w:tcPr>
            <w:tcW w:type="dxa" w:w="1083"/>
            <w:vAlign w:val="center"/>
          </w:tcPr>
          <w:p>
            <w:pPr>
              <w:jc w:val="center"/>
            </w:pPr>
            <w:r/>
            <w:r>
              <w:rPr>
                <w:sz w:val="20"/>
              </w:rPr>
              <w:t>4.25</w:t>
            </w:r>
          </w:p>
        </w:tc>
      </w:tr>
    </w:tbl>
    <w:p>
      <w:pPr>
        <w:spacing w:after="80"/>
      </w:pPr>
      <w:r>
        <w:rPr>
          <w:b w:val="0"/>
          <w:i w:val="0"/>
          <w:sz w:val="22"/>
        </w:rPr>
        <w:t>Spring delivers the lowest SEC at every site (KTM 0.182, BTN 0.128, TPJ 0.212 kWh/kg), outperforming the annual figure by a factor of two to three. Solar fraction climbs above 0.90 at Kathmandu and Biratnagar in spring because clear-sky days combine with long photoperiods, so the collector alone covers nearly all of the heating load. Autumn at Biratnagar is the notable counter-example. Drying time stretches to 20.0 h despite a 23.4 °C ambient and a healthy 0.82 solar fraction, because post-monsoon humidity inflates ω and the α_RH = 1.75 Midilli term slows the drying rate. SEC still remains low (0.267 kWh/kg) because the extended run hours are mostly during daylight when the collector is active.</w:t>
      </w:r>
    </w:p>
    <w:p>
      <w:pPr>
        <w:spacing w:after="80"/>
      </w:pPr>
      <w:r>
        <w:rPr>
          <w:b w:val="0"/>
          <w:i w:val="0"/>
          <w:sz w:val="22"/>
        </w:rPr>
        <w:t>Winter behaviour differs across sites. Kathmandu and Biratnagar winters finish in about 13 to 15 h at SEC ≈ 0.24 to 0.30 kWh/kg because short days are compensated by low ambient humidity (fast kinetics). Taplejung winter is the slowest and most expensive at 0.379 kWh/kg, driven by the combination of low ambient (depressed COP) and shorter photoperiod at altitude. Solar fraction at TPJ in winter is 0.72, several points below KTM winter (0.80) at the same collector area.</w:t>
      </w:r>
    </w:p>
    <w:p>
      <w:pPr>
        <w:pStyle w:val="Heading2"/>
      </w:pPr>
      <w:r>
        <w:rPr>
          <w:color w:val="1F2D5A"/>
        </w:rPr>
        <w:t>2.4  Effect of Recirculation</w:t>
      </w:r>
    </w:p>
    <w:p>
      <w:pPr>
        <w:spacing w:before="120" w:after="40"/>
      </w:pPr>
      <w:r>
        <w:rPr>
          <w:b/>
          <w:sz w:val="20"/>
        </w:rPr>
        <w:t>Table 6. Config B recirculation sweep at annual TMY, 10 m² collector. ΔSEC is measured against each site's own r = 0 baseline.</w:t>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shd w:val="clear" w:color="auto" w:fill="E6ECF5"/>
          </w:tcPr>
          <w:p>
            <w:pPr>
              <w:jc w:val="center"/>
            </w:pPr>
            <w:r/>
            <w:r>
              <w:rPr>
                <w:b/>
                <w:sz w:val="20"/>
              </w:rPr>
              <w:t>Location</w:t>
            </w:r>
          </w:p>
        </w:tc>
        <w:tc>
          <w:tcPr>
            <w:tcW w:type="dxa" w:w="1083"/>
            <w:vAlign w:val="center"/>
            <w:shd w:val="clear" w:color="auto" w:fill="E6ECF5"/>
          </w:tcPr>
          <w:p>
            <w:pPr>
              <w:jc w:val="center"/>
            </w:pPr>
            <w:r/>
            <w:r>
              <w:rPr>
                <w:b/>
                <w:sz w:val="20"/>
              </w:rPr>
              <w:t>r</w:t>
            </w:r>
          </w:p>
        </w:tc>
        <w:tc>
          <w:tcPr>
            <w:tcW w:type="dxa" w:w="1083"/>
            <w:vAlign w:val="center"/>
            <w:shd w:val="clear" w:color="auto" w:fill="E6ECF5"/>
          </w:tcPr>
          <w:p>
            <w:pPr>
              <w:jc w:val="center"/>
            </w:pPr>
            <w:r/>
            <w:r>
              <w:rPr>
                <w:b/>
                <w:sz w:val="20"/>
              </w:rPr>
              <w:t>Time (h)</w:t>
            </w:r>
          </w:p>
        </w:tc>
        <w:tc>
          <w:tcPr>
            <w:tcW w:type="dxa" w:w="1083"/>
            <w:vAlign w:val="center"/>
            <w:shd w:val="clear" w:color="auto" w:fill="E6ECF5"/>
          </w:tcPr>
          <w:p>
            <w:pPr>
              <w:jc w:val="center"/>
            </w:pPr>
            <w:r/>
            <w:r>
              <w:rPr>
                <w:b/>
                <w:sz w:val="20"/>
              </w:rPr>
              <w:t>SEC (kWh/kg)</w:t>
            </w:r>
          </w:p>
        </w:tc>
        <w:tc>
          <w:tcPr>
            <w:tcW w:type="dxa" w:w="1083"/>
            <w:vAlign w:val="center"/>
            <w:shd w:val="clear" w:color="auto" w:fill="E6ECF5"/>
          </w:tcPr>
          <w:p>
            <w:pPr>
              <w:jc w:val="center"/>
            </w:pPr>
            <w:r/>
            <w:r>
              <w:rPr>
                <w:b/>
                <w:sz w:val="20"/>
              </w:rPr>
              <w:t>W_comp (kWh)</w:t>
            </w:r>
          </w:p>
        </w:tc>
        <w:tc>
          <w:tcPr>
            <w:tcW w:type="dxa" w:w="1083"/>
            <w:vAlign w:val="center"/>
            <w:shd w:val="clear" w:color="auto" w:fill="E6ECF5"/>
          </w:tcPr>
          <w:p>
            <w:pPr>
              <w:jc w:val="center"/>
            </w:pPr>
            <w:r/>
            <w:r>
              <w:rPr>
                <w:b/>
                <w:sz w:val="20"/>
              </w:rPr>
              <w:t>Q_solar (kWh)</w:t>
            </w:r>
          </w:p>
        </w:tc>
        <w:tc>
          <w:tcPr>
            <w:tcW w:type="dxa" w:w="1083"/>
            <w:vAlign w:val="center"/>
            <w:shd w:val="clear" w:color="auto" w:fill="E6ECF5"/>
          </w:tcPr>
          <w:p>
            <w:pPr>
              <w:jc w:val="center"/>
            </w:pPr>
            <w:r/>
            <w:r>
              <w:rPr>
                <w:b/>
                <w:sz w:val="20"/>
              </w:rPr>
              <w:t>Solar frac</w:t>
            </w:r>
          </w:p>
        </w:tc>
        <w:tc>
          <w:tcPr>
            <w:tcW w:type="dxa" w:w="1083"/>
            <w:vAlign w:val="center"/>
            <w:shd w:val="clear" w:color="auto" w:fill="E6ECF5"/>
          </w:tcPr>
          <w:p>
            <w:pPr>
              <w:jc w:val="center"/>
            </w:pPr>
            <w:r/>
            <w:r>
              <w:rPr>
                <w:b/>
                <w:sz w:val="20"/>
              </w:rPr>
              <w:t>COP</w:t>
            </w:r>
          </w:p>
        </w:tc>
        <w:tc>
          <w:tcPr>
            <w:tcW w:type="dxa" w:w="1083"/>
            <w:vAlign w:val="center"/>
            <w:shd w:val="clear" w:color="auto" w:fill="E6ECF5"/>
          </w:tcPr>
          <w:p>
            <w:pPr>
              <w:jc w:val="center"/>
            </w:pPr>
            <w:r/>
            <w:r>
              <w:rPr>
                <w:b/>
                <w:sz w:val="20"/>
              </w:rPr>
              <w:t>ΔSEC vs r=0 (%)</w:t>
            </w:r>
          </w:p>
        </w:tc>
      </w:tr>
      <w:tr>
        <w:tc>
          <w:tcPr>
            <w:tcW w:type="dxa" w:w="1083"/>
            <w:vAlign w:val="center"/>
          </w:tcPr>
          <w:p>
            <w:pPr>
              <w:jc w:val="left"/>
            </w:pPr>
            <w:r/>
            <w:r>
              <w:rPr>
                <w:b/>
                <w:sz w:val="20"/>
              </w:rPr>
              <w:t>Kathmandu</w:t>
            </w:r>
          </w:p>
        </w:tc>
        <w:tc>
          <w:tcPr>
            <w:tcW w:type="dxa" w:w="1083"/>
            <w:vAlign w:val="center"/>
          </w:tcPr>
          <w:p>
            <w:pPr>
              <w:jc w:val="center"/>
            </w:pPr>
            <w:r/>
            <w:r>
              <w:rPr>
                <w:sz w:val="20"/>
              </w:rPr>
              <w:t>0.0</w:t>
            </w:r>
          </w:p>
        </w:tc>
        <w:tc>
          <w:tcPr>
            <w:tcW w:type="dxa" w:w="1083"/>
            <w:vAlign w:val="center"/>
          </w:tcPr>
          <w:p>
            <w:pPr>
              <w:jc w:val="center"/>
            </w:pPr>
            <w:r/>
            <w:r>
              <w:rPr>
                <w:sz w:val="20"/>
              </w:rPr>
              <w:t>13.85</w:t>
            </w:r>
          </w:p>
        </w:tc>
        <w:tc>
          <w:tcPr>
            <w:tcW w:type="dxa" w:w="1083"/>
            <w:vAlign w:val="center"/>
          </w:tcPr>
          <w:p>
            <w:pPr>
              <w:jc w:val="center"/>
            </w:pPr>
            <w:r/>
            <w:r>
              <w:rPr>
                <w:sz w:val="20"/>
              </w:rPr>
              <w:t>0.488</w:t>
            </w:r>
          </w:p>
        </w:tc>
        <w:tc>
          <w:tcPr>
            <w:tcW w:type="dxa" w:w="1083"/>
            <w:vAlign w:val="center"/>
          </w:tcPr>
          <w:p>
            <w:pPr>
              <w:jc w:val="center"/>
            </w:pPr>
            <w:r/>
            <w:r>
              <w:rPr>
                <w:sz w:val="20"/>
              </w:rPr>
              <w:t>9.09</w:t>
            </w:r>
          </w:p>
        </w:tc>
        <w:tc>
          <w:tcPr>
            <w:tcW w:type="dxa" w:w="1083"/>
            <w:vAlign w:val="center"/>
          </w:tcPr>
          <w:p>
            <w:pPr>
              <w:jc w:val="center"/>
            </w:pPr>
            <w:r/>
            <w:r>
              <w:rPr>
                <w:sz w:val="20"/>
              </w:rPr>
              <w:t>15.9</w:t>
            </w:r>
          </w:p>
        </w:tc>
        <w:tc>
          <w:tcPr>
            <w:tcW w:type="dxa" w:w="1083"/>
            <w:vAlign w:val="center"/>
          </w:tcPr>
          <w:p>
            <w:pPr>
              <w:jc w:val="center"/>
            </w:pPr>
            <w:r/>
            <w:r>
              <w:rPr>
                <w:sz w:val="20"/>
              </w:rPr>
              <w:t>0.627</w:t>
            </w:r>
          </w:p>
        </w:tc>
        <w:tc>
          <w:tcPr>
            <w:tcW w:type="dxa" w:w="1083"/>
            <w:vAlign w:val="center"/>
          </w:tcPr>
          <w:p>
            <w:pPr>
              <w:jc w:val="center"/>
            </w:pPr>
            <w:r/>
            <w:r>
              <w:rPr>
                <w:sz w:val="20"/>
              </w:rPr>
              <w:t>3.63</w:t>
            </w:r>
          </w:p>
        </w:tc>
        <w:tc>
          <w:tcPr>
            <w:tcW w:type="dxa" w:w="1083"/>
            <w:vAlign w:val="center"/>
          </w:tcPr>
          <w:p>
            <w:pPr>
              <w:jc w:val="center"/>
            </w:pPr>
            <w:r/>
            <w:r>
              <w:rPr>
                <w:sz w:val="20"/>
              </w:rPr>
              <w:t>+0.0</w:t>
            </w:r>
          </w:p>
        </w:tc>
      </w:tr>
      <w:tr>
        <w:tc>
          <w:tcPr>
            <w:tcW w:type="dxa" w:w="1083"/>
            <w:vAlign w:val="center"/>
          </w:tcPr>
          <w:p>
            <w:pPr>
              <w:jc w:val="left"/>
            </w:pPr>
            <w:r/>
            <w:r>
              <w:rPr>
                <w:b/>
                <w:sz w:val="20"/>
              </w:rPr>
              <w:t>Kathmandu</w:t>
            </w:r>
          </w:p>
        </w:tc>
        <w:tc>
          <w:tcPr>
            <w:tcW w:type="dxa" w:w="1083"/>
            <w:vAlign w:val="center"/>
          </w:tcPr>
          <w:p>
            <w:pPr>
              <w:jc w:val="center"/>
            </w:pPr>
            <w:r/>
            <w:r>
              <w:rPr>
                <w:sz w:val="20"/>
              </w:rPr>
              <w:t>0.3</w:t>
            </w:r>
          </w:p>
        </w:tc>
        <w:tc>
          <w:tcPr>
            <w:tcW w:type="dxa" w:w="1083"/>
            <w:vAlign w:val="center"/>
          </w:tcPr>
          <w:p>
            <w:pPr>
              <w:jc w:val="center"/>
            </w:pPr>
            <w:r/>
            <w:r>
              <w:rPr>
                <w:sz w:val="20"/>
              </w:rPr>
              <w:t>31.05</w:t>
            </w:r>
          </w:p>
        </w:tc>
        <w:tc>
          <w:tcPr>
            <w:tcW w:type="dxa" w:w="1083"/>
            <w:vAlign w:val="center"/>
          </w:tcPr>
          <w:p>
            <w:pPr>
              <w:jc w:val="center"/>
            </w:pPr>
            <w:r/>
            <w:r>
              <w:rPr>
                <w:sz w:val="20"/>
              </w:rPr>
              <w:t>0.392</w:t>
            </w:r>
          </w:p>
        </w:tc>
        <w:tc>
          <w:tcPr>
            <w:tcW w:type="dxa" w:w="1083"/>
            <w:vAlign w:val="center"/>
          </w:tcPr>
          <w:p>
            <w:pPr>
              <w:jc w:val="center"/>
            </w:pPr>
            <w:r/>
            <w:r>
              <w:rPr>
                <w:sz w:val="20"/>
              </w:rPr>
              <w:t>6.37</w:t>
            </w:r>
          </w:p>
        </w:tc>
        <w:tc>
          <w:tcPr>
            <w:tcW w:type="dxa" w:w="1083"/>
            <w:vAlign w:val="center"/>
          </w:tcPr>
          <w:p>
            <w:pPr>
              <w:jc w:val="center"/>
            </w:pPr>
            <w:r/>
            <w:r>
              <w:rPr>
                <w:sz w:val="20"/>
              </w:rPr>
              <w:t>30.6</w:t>
            </w:r>
          </w:p>
        </w:tc>
        <w:tc>
          <w:tcPr>
            <w:tcW w:type="dxa" w:w="1083"/>
            <w:vAlign w:val="center"/>
          </w:tcPr>
          <w:p>
            <w:pPr>
              <w:jc w:val="center"/>
            </w:pPr>
            <w:r/>
            <w:r>
              <w:rPr>
                <w:sz w:val="20"/>
              </w:rPr>
              <w:t>0.802</w:t>
            </w:r>
          </w:p>
        </w:tc>
        <w:tc>
          <w:tcPr>
            <w:tcW w:type="dxa" w:w="1083"/>
            <w:vAlign w:val="center"/>
          </w:tcPr>
          <w:p>
            <w:pPr>
              <w:jc w:val="center"/>
            </w:pPr>
            <w:r/>
            <w:r>
              <w:rPr>
                <w:sz w:val="20"/>
              </w:rPr>
              <w:t>3.80</w:t>
            </w:r>
          </w:p>
        </w:tc>
        <w:tc>
          <w:tcPr>
            <w:tcW w:type="dxa" w:w="1083"/>
            <w:vAlign w:val="center"/>
          </w:tcPr>
          <w:p>
            <w:pPr>
              <w:jc w:val="center"/>
            </w:pPr>
            <w:r/>
            <w:r>
              <w:rPr>
                <w:sz w:val="20"/>
              </w:rPr>
              <w:t>-19.7</w:t>
            </w:r>
          </w:p>
        </w:tc>
      </w:tr>
      <w:tr>
        <w:tc>
          <w:tcPr>
            <w:tcW w:type="dxa" w:w="1083"/>
            <w:vAlign w:val="center"/>
          </w:tcPr>
          <w:p>
            <w:pPr>
              <w:jc w:val="left"/>
            </w:pPr>
            <w:r/>
            <w:r>
              <w:rPr>
                <w:b/>
                <w:sz w:val="20"/>
              </w:rPr>
              <w:t>Kathmandu</w:t>
            </w:r>
          </w:p>
        </w:tc>
        <w:tc>
          <w:tcPr>
            <w:tcW w:type="dxa" w:w="1083"/>
            <w:vAlign w:val="center"/>
          </w:tcPr>
          <w:p>
            <w:pPr>
              <w:jc w:val="center"/>
            </w:pPr>
            <w:r/>
            <w:r>
              <w:rPr>
                <w:sz w:val="20"/>
              </w:rPr>
              <w:t>0.5</w:t>
            </w:r>
          </w:p>
        </w:tc>
        <w:tc>
          <w:tcPr>
            <w:tcW w:type="dxa" w:w="1083"/>
            <w:vAlign w:val="center"/>
          </w:tcPr>
          <w:p>
            <w:pPr>
              <w:jc w:val="center"/>
            </w:pPr>
            <w:r/>
            <w:r>
              <w:rPr>
                <w:sz w:val="20"/>
              </w:rPr>
              <w:t>30.13</w:t>
            </w:r>
          </w:p>
        </w:tc>
        <w:tc>
          <w:tcPr>
            <w:tcW w:type="dxa" w:w="1083"/>
            <w:vAlign w:val="center"/>
          </w:tcPr>
          <w:p>
            <w:pPr>
              <w:jc w:val="center"/>
            </w:pPr>
            <w:r/>
            <w:r>
              <w:rPr>
                <w:sz w:val="20"/>
              </w:rPr>
              <w:t>0.416</w:t>
            </w:r>
          </w:p>
        </w:tc>
        <w:tc>
          <w:tcPr>
            <w:tcW w:type="dxa" w:w="1083"/>
            <w:vAlign w:val="center"/>
          </w:tcPr>
          <w:p>
            <w:pPr>
              <w:jc w:val="center"/>
            </w:pPr>
            <w:r/>
            <w:r>
              <w:rPr>
                <w:sz w:val="20"/>
              </w:rPr>
              <w:t>6.90</w:t>
            </w:r>
          </w:p>
        </w:tc>
        <w:tc>
          <w:tcPr>
            <w:tcW w:type="dxa" w:w="1083"/>
            <w:vAlign w:val="center"/>
          </w:tcPr>
          <w:p>
            <w:pPr>
              <w:jc w:val="center"/>
            </w:pPr>
            <w:r/>
            <w:r>
              <w:rPr>
                <w:sz w:val="20"/>
              </w:rPr>
              <w:t>27.3</w:t>
            </w:r>
          </w:p>
        </w:tc>
        <w:tc>
          <w:tcPr>
            <w:tcW w:type="dxa" w:w="1083"/>
            <w:vAlign w:val="center"/>
          </w:tcPr>
          <w:p>
            <w:pPr>
              <w:jc w:val="center"/>
            </w:pPr>
            <w:r/>
            <w:r>
              <w:rPr>
                <w:sz w:val="20"/>
              </w:rPr>
              <w:t>0.772</w:t>
            </w:r>
          </w:p>
        </w:tc>
        <w:tc>
          <w:tcPr>
            <w:tcW w:type="dxa" w:w="1083"/>
            <w:vAlign w:val="center"/>
          </w:tcPr>
          <w:p>
            <w:pPr>
              <w:jc w:val="center"/>
            </w:pPr>
            <w:r/>
            <w:r>
              <w:rPr>
                <w:sz w:val="20"/>
              </w:rPr>
              <w:t>3.84</w:t>
            </w:r>
          </w:p>
        </w:tc>
        <w:tc>
          <w:tcPr>
            <w:tcW w:type="dxa" w:w="1083"/>
            <w:vAlign w:val="center"/>
          </w:tcPr>
          <w:p>
            <w:pPr>
              <w:jc w:val="center"/>
            </w:pPr>
            <w:r/>
            <w:r>
              <w:rPr>
                <w:sz w:val="20"/>
              </w:rPr>
              <w:t>-14.7</w:t>
            </w:r>
          </w:p>
        </w:tc>
      </w:tr>
      <w:tr>
        <w:tc>
          <w:tcPr>
            <w:tcW w:type="dxa" w:w="1083"/>
            <w:vAlign w:val="center"/>
          </w:tcPr>
          <w:p>
            <w:pPr>
              <w:jc w:val="left"/>
            </w:pPr>
            <w:r/>
            <w:r>
              <w:rPr>
                <w:b/>
                <w:sz w:val="20"/>
              </w:rPr>
              <w:t>Kathmandu</w:t>
            </w:r>
          </w:p>
        </w:tc>
        <w:tc>
          <w:tcPr>
            <w:tcW w:type="dxa" w:w="1083"/>
            <w:vAlign w:val="center"/>
          </w:tcPr>
          <w:p>
            <w:pPr>
              <w:jc w:val="center"/>
            </w:pPr>
            <w:r/>
            <w:r>
              <w:rPr>
                <w:sz w:val="20"/>
              </w:rPr>
              <w:t>0.7</w:t>
            </w:r>
          </w:p>
        </w:tc>
        <w:tc>
          <w:tcPr>
            <w:tcW w:type="dxa" w:w="1083"/>
            <w:vAlign w:val="center"/>
          </w:tcPr>
          <w:p>
            <w:pPr>
              <w:jc w:val="center"/>
            </w:pPr>
            <w:r/>
            <w:r>
              <w:rPr>
                <w:sz w:val="20"/>
              </w:rPr>
              <w:t>28.98</w:t>
            </w:r>
          </w:p>
        </w:tc>
        <w:tc>
          <w:tcPr>
            <w:tcW w:type="dxa" w:w="1083"/>
            <w:vAlign w:val="center"/>
          </w:tcPr>
          <w:p>
            <w:pPr>
              <w:jc w:val="center"/>
            </w:pPr>
            <w:r/>
            <w:r>
              <w:rPr>
                <w:sz w:val="20"/>
              </w:rPr>
              <w:t>0.460</w:t>
            </w:r>
          </w:p>
        </w:tc>
        <w:tc>
          <w:tcPr>
            <w:tcW w:type="dxa" w:w="1083"/>
            <w:vAlign w:val="center"/>
          </w:tcPr>
          <w:p>
            <w:pPr>
              <w:jc w:val="center"/>
            </w:pPr>
            <w:r/>
            <w:r>
              <w:rPr>
                <w:sz w:val="20"/>
              </w:rPr>
              <w:t>7.84</w:t>
            </w:r>
          </w:p>
        </w:tc>
        <w:tc>
          <w:tcPr>
            <w:tcW w:type="dxa" w:w="1083"/>
            <w:vAlign w:val="center"/>
          </w:tcPr>
          <w:p>
            <w:pPr>
              <w:jc w:val="center"/>
            </w:pPr>
            <w:r/>
            <w:r>
              <w:rPr>
                <w:sz w:val="20"/>
              </w:rPr>
              <w:t>23.0</w:t>
            </w:r>
          </w:p>
        </w:tc>
        <w:tc>
          <w:tcPr>
            <w:tcW w:type="dxa" w:w="1083"/>
            <w:vAlign w:val="center"/>
          </w:tcPr>
          <w:p>
            <w:pPr>
              <w:jc w:val="center"/>
            </w:pPr>
            <w:r/>
            <w:r>
              <w:rPr>
                <w:sz w:val="20"/>
              </w:rPr>
              <w:t>0.720</w:t>
            </w:r>
          </w:p>
        </w:tc>
        <w:tc>
          <w:tcPr>
            <w:tcW w:type="dxa" w:w="1083"/>
            <w:vAlign w:val="center"/>
          </w:tcPr>
          <w:p>
            <w:pPr>
              <w:jc w:val="center"/>
            </w:pPr>
            <w:r/>
            <w:r>
              <w:rPr>
                <w:sz w:val="20"/>
              </w:rPr>
              <w:t>3.90</w:t>
            </w:r>
          </w:p>
        </w:tc>
        <w:tc>
          <w:tcPr>
            <w:tcW w:type="dxa" w:w="1083"/>
            <w:vAlign w:val="center"/>
          </w:tcPr>
          <w:p>
            <w:pPr>
              <w:jc w:val="center"/>
            </w:pPr>
            <w:r/>
            <w:r>
              <w:rPr>
                <w:sz w:val="20"/>
              </w:rPr>
              <w:t>-5.7</w:t>
            </w:r>
          </w:p>
        </w:tc>
      </w:tr>
      <w:tr>
        <w:tc>
          <w:tcPr>
            <w:tcW w:type="dxa" w:w="1083"/>
            <w:vAlign w:val="center"/>
          </w:tcPr>
          <w:p>
            <w:pPr>
              <w:jc w:val="left"/>
            </w:pPr>
            <w:r/>
            <w:r>
              <w:rPr>
                <w:b/>
                <w:sz w:val="20"/>
              </w:rPr>
              <w:t>Kathmandu</w:t>
            </w:r>
          </w:p>
        </w:tc>
        <w:tc>
          <w:tcPr>
            <w:tcW w:type="dxa" w:w="1083"/>
            <w:vAlign w:val="center"/>
          </w:tcPr>
          <w:p>
            <w:pPr>
              <w:jc w:val="center"/>
            </w:pPr>
            <w:r/>
            <w:r>
              <w:rPr>
                <w:sz w:val="20"/>
              </w:rPr>
              <w:t>0.8</w:t>
            </w:r>
          </w:p>
        </w:tc>
        <w:tc>
          <w:tcPr>
            <w:tcW w:type="dxa" w:w="1083"/>
            <w:vAlign w:val="center"/>
          </w:tcPr>
          <w:p>
            <w:pPr>
              <w:jc w:val="center"/>
            </w:pPr>
            <w:r/>
            <w:r>
              <w:rPr>
                <w:sz w:val="20"/>
              </w:rPr>
              <w:t>16.00</w:t>
            </w:r>
          </w:p>
        </w:tc>
        <w:tc>
          <w:tcPr>
            <w:tcW w:type="dxa" w:w="1083"/>
            <w:vAlign w:val="center"/>
          </w:tcPr>
          <w:p>
            <w:pPr>
              <w:jc w:val="center"/>
            </w:pPr>
            <w:r/>
            <w:r>
              <w:rPr>
                <w:sz w:val="20"/>
              </w:rPr>
              <w:t>0.487</w:t>
            </w:r>
          </w:p>
        </w:tc>
        <w:tc>
          <w:tcPr>
            <w:tcW w:type="dxa" w:w="1083"/>
            <w:vAlign w:val="center"/>
          </w:tcPr>
          <w:p>
            <w:pPr>
              <w:jc w:val="center"/>
            </w:pPr>
            <w:r/>
            <w:r>
              <w:rPr>
                <w:sz w:val="20"/>
              </w:rPr>
              <w:t>8.78</w:t>
            </w:r>
          </w:p>
        </w:tc>
        <w:tc>
          <w:tcPr>
            <w:tcW w:type="dxa" w:w="1083"/>
            <w:vAlign w:val="center"/>
          </w:tcPr>
          <w:p>
            <w:pPr>
              <w:jc w:val="center"/>
            </w:pPr>
            <w:r/>
            <w:r>
              <w:rPr>
                <w:sz w:val="20"/>
              </w:rPr>
              <w:t>15.4</w:t>
            </w:r>
          </w:p>
        </w:tc>
        <w:tc>
          <w:tcPr>
            <w:tcW w:type="dxa" w:w="1083"/>
            <w:vAlign w:val="center"/>
          </w:tcPr>
          <w:p>
            <w:pPr>
              <w:jc w:val="center"/>
            </w:pPr>
            <w:r/>
            <w:r>
              <w:rPr>
                <w:sz w:val="20"/>
              </w:rPr>
              <w:t>0.622</w:t>
            </w:r>
          </w:p>
        </w:tc>
        <w:tc>
          <w:tcPr>
            <w:tcW w:type="dxa" w:w="1083"/>
            <w:vAlign w:val="center"/>
          </w:tcPr>
          <w:p>
            <w:pPr>
              <w:jc w:val="center"/>
            </w:pPr>
            <w:r/>
            <w:r>
              <w:rPr>
                <w:sz w:val="20"/>
              </w:rPr>
              <w:t>4.04</w:t>
            </w:r>
          </w:p>
        </w:tc>
        <w:tc>
          <w:tcPr>
            <w:tcW w:type="dxa" w:w="1083"/>
            <w:vAlign w:val="center"/>
          </w:tcPr>
          <w:p>
            <w:pPr>
              <w:jc w:val="center"/>
            </w:pPr>
            <w:r/>
            <w:r>
              <w:rPr>
                <w:sz w:val="20"/>
              </w:rPr>
              <w:t>-0.2</w:t>
            </w:r>
          </w:p>
        </w:tc>
      </w:tr>
      <w:tr>
        <w:tc>
          <w:tcPr>
            <w:tcW w:type="dxa" w:w="1083"/>
            <w:vAlign w:val="center"/>
          </w:tcPr>
          <w:p>
            <w:pPr>
              <w:jc w:val="left"/>
            </w:pPr>
            <w:r/>
            <w:r>
              <w:rPr>
                <w:b/>
                <w:sz w:val="20"/>
              </w:rPr>
              <w:t>Kathmandu</w:t>
            </w:r>
          </w:p>
        </w:tc>
        <w:tc>
          <w:tcPr>
            <w:tcW w:type="dxa" w:w="1083"/>
            <w:vAlign w:val="center"/>
          </w:tcPr>
          <w:p>
            <w:pPr>
              <w:jc w:val="center"/>
            </w:pPr>
            <w:r/>
            <w:r>
              <w:rPr>
                <w:sz w:val="20"/>
              </w:rPr>
              <w:t>0.9</w:t>
            </w:r>
          </w:p>
        </w:tc>
        <w:tc>
          <w:tcPr>
            <w:tcW w:type="dxa" w:w="1083"/>
            <w:vAlign w:val="center"/>
          </w:tcPr>
          <w:p>
            <w:pPr>
              <w:jc w:val="center"/>
            </w:pPr>
            <w:r/>
            <w:r>
              <w:rPr>
                <w:sz w:val="20"/>
              </w:rPr>
              <w:t>14.92</w:t>
            </w:r>
          </w:p>
        </w:tc>
        <w:tc>
          <w:tcPr>
            <w:tcW w:type="dxa" w:w="1083"/>
            <w:vAlign w:val="center"/>
          </w:tcPr>
          <w:p>
            <w:pPr>
              <w:jc w:val="center"/>
            </w:pPr>
            <w:r/>
            <w:r>
              <w:rPr>
                <w:sz w:val="20"/>
              </w:rPr>
              <w:t>0.469</w:t>
            </w:r>
          </w:p>
        </w:tc>
        <w:tc>
          <w:tcPr>
            <w:tcW w:type="dxa" w:w="1083"/>
            <w:vAlign w:val="center"/>
          </w:tcPr>
          <w:p>
            <w:pPr>
              <w:jc w:val="center"/>
            </w:pPr>
            <w:r/>
            <w:r>
              <w:rPr>
                <w:sz w:val="20"/>
              </w:rPr>
              <w:t>8.49</w:t>
            </w:r>
          </w:p>
        </w:tc>
        <w:tc>
          <w:tcPr>
            <w:tcW w:type="dxa" w:w="1083"/>
            <w:vAlign w:val="center"/>
          </w:tcPr>
          <w:p>
            <w:pPr>
              <w:jc w:val="center"/>
            </w:pPr>
            <w:r/>
            <w:r>
              <w:rPr>
                <w:sz w:val="20"/>
              </w:rPr>
              <w:t>15.3</w:t>
            </w:r>
          </w:p>
        </w:tc>
        <w:tc>
          <w:tcPr>
            <w:tcW w:type="dxa" w:w="1083"/>
            <w:vAlign w:val="center"/>
          </w:tcPr>
          <w:p>
            <w:pPr>
              <w:jc w:val="center"/>
            </w:pPr>
            <w:r/>
            <w:r>
              <w:rPr>
                <w:sz w:val="20"/>
              </w:rPr>
              <w:t>0.628</w:t>
            </w:r>
          </w:p>
        </w:tc>
        <w:tc>
          <w:tcPr>
            <w:tcW w:type="dxa" w:w="1083"/>
            <w:vAlign w:val="center"/>
          </w:tcPr>
          <w:p>
            <w:pPr>
              <w:jc w:val="center"/>
            </w:pPr>
            <w:r/>
            <w:r>
              <w:rPr>
                <w:sz w:val="20"/>
              </w:rPr>
              <w:t>4.04</w:t>
            </w:r>
          </w:p>
        </w:tc>
        <w:tc>
          <w:tcPr>
            <w:tcW w:type="dxa" w:w="1083"/>
            <w:vAlign w:val="center"/>
          </w:tcPr>
          <w:p>
            <w:pPr>
              <w:jc w:val="center"/>
            </w:pPr>
            <w:r/>
            <w:r>
              <w:rPr>
                <w:sz w:val="20"/>
              </w:rPr>
              <w:t>-3.8</w:t>
            </w:r>
          </w:p>
        </w:tc>
      </w:tr>
      <w:tr>
        <w:tc>
          <w:tcPr>
            <w:tcW w:type="dxa" w:w="1083"/>
            <w:vAlign w:val="center"/>
          </w:tcPr>
          <w:p>
            <w:pPr>
              <w:jc w:val="left"/>
            </w:pPr>
            <w:r/>
            <w:r>
              <w:rPr>
                <w:b/>
                <w:sz w:val="20"/>
              </w:rPr>
              <w:t>Kathmandu</w:t>
            </w:r>
          </w:p>
        </w:tc>
        <w:tc>
          <w:tcPr>
            <w:tcW w:type="dxa" w:w="1083"/>
            <w:vAlign w:val="center"/>
          </w:tcPr>
          <w:p>
            <w:pPr>
              <w:jc w:val="center"/>
            </w:pPr>
            <w:r/>
            <w:r>
              <w:rPr>
                <w:sz w:val="20"/>
              </w:rPr>
              <w:t>1.0</w:t>
            </w:r>
          </w:p>
        </w:tc>
        <w:tc>
          <w:tcPr>
            <w:tcW w:type="dxa" w:w="1083"/>
            <w:vAlign w:val="center"/>
          </w:tcPr>
          <w:p>
            <w:pPr>
              <w:jc w:val="center"/>
            </w:pPr>
            <w:r/>
            <w:r>
              <w:rPr>
                <w:sz w:val="20"/>
              </w:rPr>
              <w:t>15.22</w:t>
            </w:r>
          </w:p>
        </w:tc>
        <w:tc>
          <w:tcPr>
            <w:tcW w:type="dxa" w:w="1083"/>
            <w:vAlign w:val="center"/>
          </w:tcPr>
          <w:p>
            <w:pPr>
              <w:jc w:val="center"/>
            </w:pPr>
            <w:r/>
            <w:r>
              <w:rPr>
                <w:sz w:val="20"/>
              </w:rPr>
              <w:t>0.477</w:t>
            </w:r>
          </w:p>
        </w:tc>
        <w:tc>
          <w:tcPr>
            <w:tcW w:type="dxa" w:w="1083"/>
            <w:vAlign w:val="center"/>
          </w:tcPr>
          <w:p>
            <w:pPr>
              <w:jc w:val="center"/>
            </w:pPr>
            <w:r/>
            <w:r>
              <w:rPr>
                <w:sz w:val="20"/>
              </w:rPr>
              <w:t>8.62</w:t>
            </w:r>
          </w:p>
        </w:tc>
        <w:tc>
          <w:tcPr>
            <w:tcW w:type="dxa" w:w="1083"/>
            <w:vAlign w:val="center"/>
          </w:tcPr>
          <w:p>
            <w:pPr>
              <w:jc w:val="center"/>
            </w:pPr>
            <w:r/>
            <w:r>
              <w:rPr>
                <w:sz w:val="20"/>
              </w:rPr>
              <w:t>15.2</w:t>
            </w:r>
          </w:p>
        </w:tc>
        <w:tc>
          <w:tcPr>
            <w:tcW w:type="dxa" w:w="1083"/>
            <w:vAlign w:val="center"/>
          </w:tcPr>
          <w:p>
            <w:pPr>
              <w:jc w:val="center"/>
            </w:pPr>
            <w:r/>
            <w:r>
              <w:rPr>
                <w:sz w:val="20"/>
              </w:rPr>
              <w:t>0.622</w:t>
            </w:r>
          </w:p>
        </w:tc>
        <w:tc>
          <w:tcPr>
            <w:tcW w:type="dxa" w:w="1083"/>
            <w:vAlign w:val="center"/>
          </w:tcPr>
          <w:p>
            <w:pPr>
              <w:jc w:val="center"/>
            </w:pPr>
            <w:r/>
            <w:r>
              <w:rPr>
                <w:sz w:val="20"/>
              </w:rPr>
              <w:t>4.04</w:t>
            </w:r>
          </w:p>
        </w:tc>
        <w:tc>
          <w:tcPr>
            <w:tcW w:type="dxa" w:w="1083"/>
            <w:vAlign w:val="center"/>
          </w:tcPr>
          <w:p>
            <w:pPr>
              <w:jc w:val="center"/>
            </w:pPr>
            <w:r/>
            <w:r>
              <w:rPr>
                <w:sz w:val="20"/>
              </w:rPr>
              <w:t>-2.3</w:t>
            </w:r>
          </w:p>
        </w:tc>
      </w:tr>
      <w:tr>
        <w:tc>
          <w:tcPr>
            <w:tcW w:type="dxa" w:w="1083"/>
            <w:vAlign w:val="center"/>
          </w:tcPr>
          <w:p>
            <w:pPr>
              <w:jc w:val="left"/>
            </w:pPr>
            <w:r/>
            <w:r>
              <w:rPr>
                <w:b/>
                <w:sz w:val="20"/>
              </w:rPr>
              <w:t>Biratnagar</w:t>
            </w:r>
          </w:p>
        </w:tc>
        <w:tc>
          <w:tcPr>
            <w:tcW w:type="dxa" w:w="1083"/>
            <w:vAlign w:val="center"/>
          </w:tcPr>
          <w:p>
            <w:pPr>
              <w:jc w:val="center"/>
            </w:pPr>
            <w:r/>
            <w:r>
              <w:rPr>
                <w:sz w:val="20"/>
              </w:rPr>
              <w:t>0.0</w:t>
            </w:r>
          </w:p>
        </w:tc>
        <w:tc>
          <w:tcPr>
            <w:tcW w:type="dxa" w:w="1083"/>
            <w:vAlign w:val="center"/>
          </w:tcPr>
          <w:p>
            <w:pPr>
              <w:jc w:val="center"/>
            </w:pPr>
            <w:r/>
            <w:r>
              <w:rPr>
                <w:sz w:val="20"/>
              </w:rPr>
              <w:t>14.45</w:t>
            </w:r>
          </w:p>
        </w:tc>
        <w:tc>
          <w:tcPr>
            <w:tcW w:type="dxa" w:w="1083"/>
            <w:vAlign w:val="center"/>
          </w:tcPr>
          <w:p>
            <w:pPr>
              <w:jc w:val="center"/>
            </w:pPr>
            <w:r/>
            <w:r>
              <w:rPr>
                <w:sz w:val="20"/>
              </w:rPr>
              <w:t>0.287</w:t>
            </w:r>
          </w:p>
        </w:tc>
        <w:tc>
          <w:tcPr>
            <w:tcW w:type="dxa" w:w="1083"/>
            <w:vAlign w:val="center"/>
          </w:tcPr>
          <w:p>
            <w:pPr>
              <w:jc w:val="center"/>
            </w:pPr>
            <w:r/>
            <w:r>
              <w:rPr>
                <w:sz w:val="20"/>
              </w:rPr>
              <w:t>5.18</w:t>
            </w:r>
          </w:p>
        </w:tc>
        <w:tc>
          <w:tcPr>
            <w:tcW w:type="dxa" w:w="1083"/>
            <w:vAlign w:val="center"/>
          </w:tcPr>
          <w:p>
            <w:pPr>
              <w:jc w:val="center"/>
            </w:pPr>
            <w:r/>
            <w:r>
              <w:rPr>
                <w:sz w:val="20"/>
              </w:rPr>
              <w:t>22.8</w:t>
            </w:r>
          </w:p>
        </w:tc>
        <w:tc>
          <w:tcPr>
            <w:tcW w:type="dxa" w:w="1083"/>
            <w:vAlign w:val="center"/>
          </w:tcPr>
          <w:p>
            <w:pPr>
              <w:jc w:val="center"/>
            </w:pPr>
            <w:r/>
            <w:r>
              <w:rPr>
                <w:sz w:val="20"/>
              </w:rPr>
              <w:t>0.804</w:t>
            </w:r>
          </w:p>
        </w:tc>
        <w:tc>
          <w:tcPr>
            <w:tcW w:type="dxa" w:w="1083"/>
            <w:vAlign w:val="center"/>
          </w:tcPr>
          <w:p>
            <w:pPr>
              <w:jc w:val="center"/>
            </w:pPr>
            <w:r/>
            <w:r>
              <w:rPr>
                <w:sz w:val="20"/>
              </w:rPr>
              <w:t>4.43</w:t>
            </w:r>
          </w:p>
        </w:tc>
        <w:tc>
          <w:tcPr>
            <w:tcW w:type="dxa" w:w="1083"/>
            <w:vAlign w:val="center"/>
          </w:tcPr>
          <w:p>
            <w:pPr>
              <w:jc w:val="center"/>
            </w:pPr>
            <w:r/>
            <w:r>
              <w:rPr>
                <w:sz w:val="20"/>
              </w:rPr>
              <w:t>+0.0</w:t>
            </w:r>
          </w:p>
        </w:tc>
      </w:tr>
      <w:tr>
        <w:tc>
          <w:tcPr>
            <w:tcW w:type="dxa" w:w="1083"/>
            <w:vAlign w:val="center"/>
          </w:tcPr>
          <w:p>
            <w:pPr>
              <w:jc w:val="left"/>
            </w:pPr>
            <w:r/>
            <w:r>
              <w:rPr>
                <w:b/>
                <w:sz w:val="20"/>
              </w:rPr>
              <w:t>Biratnagar</w:t>
            </w:r>
          </w:p>
        </w:tc>
        <w:tc>
          <w:tcPr>
            <w:tcW w:type="dxa" w:w="1083"/>
            <w:vAlign w:val="center"/>
          </w:tcPr>
          <w:p>
            <w:pPr>
              <w:jc w:val="center"/>
            </w:pPr>
            <w:r/>
            <w:r>
              <w:rPr>
                <w:sz w:val="20"/>
              </w:rPr>
              <w:t>0.3</w:t>
            </w:r>
          </w:p>
        </w:tc>
        <w:tc>
          <w:tcPr>
            <w:tcW w:type="dxa" w:w="1083"/>
            <w:vAlign w:val="center"/>
          </w:tcPr>
          <w:p>
            <w:pPr>
              <w:jc w:val="center"/>
            </w:pPr>
            <w:r/>
            <w:r>
              <w:rPr>
                <w:sz w:val="20"/>
              </w:rPr>
              <w:t>27.50</w:t>
            </w:r>
          </w:p>
        </w:tc>
        <w:tc>
          <w:tcPr>
            <w:tcW w:type="dxa" w:w="1083"/>
            <w:vAlign w:val="center"/>
          </w:tcPr>
          <w:p>
            <w:pPr>
              <w:jc w:val="center"/>
            </w:pPr>
            <w:r/>
            <w:r>
              <w:rPr>
                <w:sz w:val="20"/>
              </w:rPr>
              <w:t>0.568</w:t>
            </w:r>
          </w:p>
        </w:tc>
        <w:tc>
          <w:tcPr>
            <w:tcW w:type="dxa" w:w="1083"/>
            <w:vAlign w:val="center"/>
          </w:tcPr>
          <w:p>
            <w:pPr>
              <w:jc w:val="center"/>
            </w:pPr>
            <w:r/>
            <w:r>
              <w:rPr>
                <w:sz w:val="20"/>
              </w:rPr>
              <w:t>9.92</w:t>
            </w:r>
          </w:p>
        </w:tc>
        <w:tc>
          <w:tcPr>
            <w:tcW w:type="dxa" w:w="1083"/>
            <w:vAlign w:val="center"/>
          </w:tcPr>
          <w:p>
            <w:pPr>
              <w:jc w:val="center"/>
            </w:pPr>
            <w:r/>
            <w:r>
              <w:rPr>
                <w:sz w:val="20"/>
              </w:rPr>
              <w:t>30.0</w:t>
            </w:r>
          </w:p>
        </w:tc>
        <w:tc>
          <w:tcPr>
            <w:tcW w:type="dxa" w:w="1083"/>
            <w:vAlign w:val="center"/>
          </w:tcPr>
          <w:p>
            <w:pPr>
              <w:jc w:val="center"/>
            </w:pPr>
            <w:r/>
            <w:r>
              <w:rPr>
                <w:sz w:val="20"/>
              </w:rPr>
              <w:t>0.732</w:t>
            </w:r>
          </w:p>
        </w:tc>
        <w:tc>
          <w:tcPr>
            <w:tcW w:type="dxa" w:w="1083"/>
            <w:vAlign w:val="center"/>
          </w:tcPr>
          <w:p>
            <w:pPr>
              <w:jc w:val="center"/>
            </w:pPr>
            <w:r/>
            <w:r>
              <w:rPr>
                <w:sz w:val="20"/>
              </w:rPr>
              <w:t>4.04</w:t>
            </w:r>
          </w:p>
        </w:tc>
        <w:tc>
          <w:tcPr>
            <w:tcW w:type="dxa" w:w="1083"/>
            <w:vAlign w:val="center"/>
          </w:tcPr>
          <w:p>
            <w:pPr>
              <w:jc w:val="center"/>
            </w:pPr>
            <w:r/>
            <w:r>
              <w:rPr>
                <w:sz w:val="20"/>
              </w:rPr>
              <w:t>+98.0</w:t>
            </w:r>
          </w:p>
        </w:tc>
      </w:tr>
      <w:tr>
        <w:tc>
          <w:tcPr>
            <w:tcW w:type="dxa" w:w="1083"/>
            <w:vAlign w:val="center"/>
          </w:tcPr>
          <w:p>
            <w:pPr>
              <w:jc w:val="left"/>
            </w:pPr>
            <w:r/>
            <w:r>
              <w:rPr>
                <w:b/>
                <w:sz w:val="20"/>
              </w:rPr>
              <w:t>Biratnagar</w:t>
            </w:r>
          </w:p>
        </w:tc>
        <w:tc>
          <w:tcPr>
            <w:tcW w:type="dxa" w:w="1083"/>
            <w:vAlign w:val="center"/>
          </w:tcPr>
          <w:p>
            <w:pPr>
              <w:jc w:val="center"/>
            </w:pPr>
            <w:r/>
            <w:r>
              <w:rPr>
                <w:sz w:val="20"/>
              </w:rPr>
              <w:t>0.5</w:t>
            </w:r>
          </w:p>
        </w:tc>
        <w:tc>
          <w:tcPr>
            <w:tcW w:type="dxa" w:w="1083"/>
            <w:vAlign w:val="center"/>
          </w:tcPr>
          <w:p>
            <w:pPr>
              <w:jc w:val="center"/>
            </w:pPr>
            <w:r/>
            <w:r>
              <w:rPr>
                <w:sz w:val="20"/>
              </w:rPr>
              <w:t>26.88</w:t>
            </w:r>
          </w:p>
        </w:tc>
        <w:tc>
          <w:tcPr>
            <w:tcW w:type="dxa" w:w="1083"/>
            <w:vAlign w:val="center"/>
          </w:tcPr>
          <w:p>
            <w:pPr>
              <w:jc w:val="center"/>
            </w:pPr>
            <w:r/>
            <w:r>
              <w:rPr>
                <w:sz w:val="20"/>
              </w:rPr>
              <w:t>0.618</w:t>
            </w:r>
          </w:p>
        </w:tc>
        <w:tc>
          <w:tcPr>
            <w:tcW w:type="dxa" w:w="1083"/>
            <w:vAlign w:val="center"/>
          </w:tcPr>
          <w:p>
            <w:pPr>
              <w:jc w:val="center"/>
            </w:pPr>
            <w:r/>
            <w:r>
              <w:rPr>
                <w:sz w:val="20"/>
              </w:rPr>
              <w:t>10.91</w:t>
            </w:r>
          </w:p>
        </w:tc>
        <w:tc>
          <w:tcPr>
            <w:tcW w:type="dxa" w:w="1083"/>
            <w:vAlign w:val="center"/>
          </w:tcPr>
          <w:p>
            <w:pPr>
              <w:jc w:val="center"/>
            </w:pPr>
            <w:r/>
            <w:r>
              <w:rPr>
                <w:sz w:val="20"/>
              </w:rPr>
              <w:t>28.1</w:t>
            </w:r>
          </w:p>
        </w:tc>
        <w:tc>
          <w:tcPr>
            <w:tcW w:type="dxa" w:w="1083"/>
            <w:vAlign w:val="center"/>
          </w:tcPr>
          <w:p>
            <w:pPr>
              <w:jc w:val="center"/>
            </w:pPr>
            <w:r/>
            <w:r>
              <w:rPr>
                <w:sz w:val="20"/>
              </w:rPr>
              <w:t>0.702</w:t>
            </w:r>
          </w:p>
        </w:tc>
        <w:tc>
          <w:tcPr>
            <w:tcW w:type="dxa" w:w="1083"/>
            <w:vAlign w:val="center"/>
          </w:tcPr>
          <w:p>
            <w:pPr>
              <w:jc w:val="center"/>
            </w:pPr>
            <w:r/>
            <w:r>
              <w:rPr>
                <w:sz w:val="20"/>
              </w:rPr>
              <w:t>4.04</w:t>
            </w:r>
          </w:p>
        </w:tc>
        <w:tc>
          <w:tcPr>
            <w:tcW w:type="dxa" w:w="1083"/>
            <w:vAlign w:val="center"/>
          </w:tcPr>
          <w:p>
            <w:pPr>
              <w:jc w:val="center"/>
            </w:pPr>
            <w:r/>
            <w:r>
              <w:rPr>
                <w:sz w:val="20"/>
              </w:rPr>
              <w:t>+115.4</w:t>
            </w:r>
          </w:p>
        </w:tc>
      </w:tr>
      <w:tr>
        <w:tc>
          <w:tcPr>
            <w:tcW w:type="dxa" w:w="1083"/>
            <w:vAlign w:val="center"/>
          </w:tcPr>
          <w:p>
            <w:pPr>
              <w:jc w:val="left"/>
            </w:pPr>
            <w:r/>
            <w:r>
              <w:rPr>
                <w:b/>
                <w:sz w:val="20"/>
              </w:rPr>
              <w:t>Biratnagar</w:t>
            </w:r>
          </w:p>
        </w:tc>
        <w:tc>
          <w:tcPr>
            <w:tcW w:type="dxa" w:w="1083"/>
            <w:vAlign w:val="center"/>
          </w:tcPr>
          <w:p>
            <w:pPr>
              <w:jc w:val="center"/>
            </w:pPr>
            <w:r/>
            <w:r>
              <w:rPr>
                <w:sz w:val="20"/>
              </w:rPr>
              <w:t>0.7</w:t>
            </w:r>
          </w:p>
        </w:tc>
        <w:tc>
          <w:tcPr>
            <w:tcW w:type="dxa" w:w="1083"/>
            <w:vAlign w:val="center"/>
          </w:tcPr>
          <w:p>
            <w:pPr>
              <w:jc w:val="center"/>
            </w:pPr>
            <w:r/>
            <w:r>
              <w:rPr>
                <w:sz w:val="20"/>
              </w:rPr>
              <w:t>14.77</w:t>
            </w:r>
          </w:p>
        </w:tc>
        <w:tc>
          <w:tcPr>
            <w:tcW w:type="dxa" w:w="1083"/>
            <w:vAlign w:val="center"/>
          </w:tcPr>
          <w:p>
            <w:pPr>
              <w:jc w:val="center"/>
            </w:pPr>
            <w:r/>
            <w:r>
              <w:rPr>
                <w:sz w:val="20"/>
              </w:rPr>
              <w:t>0.431</w:t>
            </w:r>
          </w:p>
        </w:tc>
        <w:tc>
          <w:tcPr>
            <w:tcW w:type="dxa" w:w="1083"/>
            <w:vAlign w:val="center"/>
          </w:tcPr>
          <w:p>
            <w:pPr>
              <w:jc w:val="center"/>
            </w:pPr>
            <w:r/>
            <w:r>
              <w:rPr>
                <w:sz w:val="20"/>
              </w:rPr>
              <w:t>7.76</w:t>
            </w:r>
          </w:p>
        </w:tc>
        <w:tc>
          <w:tcPr>
            <w:tcW w:type="dxa" w:w="1083"/>
            <w:vAlign w:val="center"/>
          </w:tcPr>
          <w:p>
            <w:pPr>
              <w:jc w:val="center"/>
            </w:pPr>
            <w:r/>
            <w:r>
              <w:rPr>
                <w:sz w:val="20"/>
              </w:rPr>
              <w:t>25.6</w:t>
            </w:r>
          </w:p>
        </w:tc>
        <w:tc>
          <w:tcPr>
            <w:tcW w:type="dxa" w:w="1083"/>
            <w:vAlign w:val="center"/>
          </w:tcPr>
          <w:p>
            <w:pPr>
              <w:jc w:val="center"/>
            </w:pPr>
            <w:r/>
            <w:r>
              <w:rPr>
                <w:sz w:val="20"/>
              </w:rPr>
              <w:t>0.755</w:t>
            </w:r>
          </w:p>
        </w:tc>
        <w:tc>
          <w:tcPr>
            <w:tcW w:type="dxa" w:w="1083"/>
            <w:vAlign w:val="center"/>
          </w:tcPr>
          <w:p>
            <w:pPr>
              <w:jc w:val="center"/>
            </w:pPr>
            <w:r/>
            <w:r>
              <w:rPr>
                <w:sz w:val="20"/>
              </w:rPr>
              <w:t>4.04</w:t>
            </w:r>
          </w:p>
        </w:tc>
        <w:tc>
          <w:tcPr>
            <w:tcW w:type="dxa" w:w="1083"/>
            <w:vAlign w:val="center"/>
          </w:tcPr>
          <w:p>
            <w:pPr>
              <w:jc w:val="center"/>
            </w:pPr>
            <w:r/>
            <w:r>
              <w:rPr>
                <w:sz w:val="20"/>
              </w:rPr>
              <w:t>+50.4</w:t>
            </w:r>
          </w:p>
        </w:tc>
      </w:tr>
      <w:tr>
        <w:tc>
          <w:tcPr>
            <w:tcW w:type="dxa" w:w="1083"/>
            <w:vAlign w:val="center"/>
          </w:tcPr>
          <w:p>
            <w:pPr>
              <w:jc w:val="left"/>
            </w:pPr>
            <w:r/>
            <w:r>
              <w:rPr>
                <w:b/>
                <w:sz w:val="20"/>
              </w:rPr>
              <w:t>Biratnagar</w:t>
            </w:r>
          </w:p>
        </w:tc>
        <w:tc>
          <w:tcPr>
            <w:tcW w:type="dxa" w:w="1083"/>
            <w:vAlign w:val="center"/>
          </w:tcPr>
          <w:p>
            <w:pPr>
              <w:jc w:val="center"/>
            </w:pPr>
            <w:r/>
            <w:r>
              <w:rPr>
                <w:sz w:val="20"/>
              </w:rPr>
              <w:t>0.8</w:t>
            </w:r>
          </w:p>
        </w:tc>
        <w:tc>
          <w:tcPr>
            <w:tcW w:type="dxa" w:w="1083"/>
            <w:vAlign w:val="center"/>
          </w:tcPr>
          <w:p>
            <w:pPr>
              <w:jc w:val="center"/>
            </w:pPr>
            <w:r/>
            <w:r>
              <w:rPr>
                <w:sz w:val="20"/>
              </w:rPr>
              <w:t>14.55</w:t>
            </w:r>
          </w:p>
        </w:tc>
        <w:tc>
          <w:tcPr>
            <w:tcW w:type="dxa" w:w="1083"/>
            <w:vAlign w:val="center"/>
          </w:tcPr>
          <w:p>
            <w:pPr>
              <w:jc w:val="center"/>
            </w:pPr>
            <w:r/>
            <w:r>
              <w:rPr>
                <w:sz w:val="20"/>
              </w:rPr>
              <w:t>0.423</w:t>
            </w:r>
          </w:p>
        </w:tc>
        <w:tc>
          <w:tcPr>
            <w:tcW w:type="dxa" w:w="1083"/>
            <w:vAlign w:val="center"/>
          </w:tcPr>
          <w:p>
            <w:pPr>
              <w:jc w:val="center"/>
            </w:pPr>
            <w:r/>
            <w:r>
              <w:rPr>
                <w:sz w:val="20"/>
              </w:rPr>
              <w:t>7.60</w:t>
            </w:r>
          </w:p>
        </w:tc>
        <w:tc>
          <w:tcPr>
            <w:tcW w:type="dxa" w:w="1083"/>
            <w:vAlign w:val="center"/>
          </w:tcPr>
          <w:p>
            <w:pPr>
              <w:jc w:val="center"/>
            </w:pPr>
            <w:r/>
            <w:r>
              <w:rPr>
                <w:sz w:val="20"/>
              </w:rPr>
              <w:t>25.5</w:t>
            </w:r>
          </w:p>
        </w:tc>
        <w:tc>
          <w:tcPr>
            <w:tcW w:type="dxa" w:w="1083"/>
            <w:vAlign w:val="center"/>
          </w:tcPr>
          <w:p>
            <w:pPr>
              <w:jc w:val="center"/>
            </w:pPr>
            <w:r/>
            <w:r>
              <w:rPr>
                <w:sz w:val="20"/>
              </w:rPr>
              <w:t>0.758</w:t>
            </w:r>
          </w:p>
        </w:tc>
        <w:tc>
          <w:tcPr>
            <w:tcW w:type="dxa" w:w="1083"/>
            <w:vAlign w:val="center"/>
          </w:tcPr>
          <w:p>
            <w:pPr>
              <w:jc w:val="center"/>
            </w:pPr>
            <w:r/>
            <w:r>
              <w:rPr>
                <w:sz w:val="20"/>
              </w:rPr>
              <w:t>4.04</w:t>
            </w:r>
          </w:p>
        </w:tc>
        <w:tc>
          <w:tcPr>
            <w:tcW w:type="dxa" w:w="1083"/>
            <w:vAlign w:val="center"/>
          </w:tcPr>
          <w:p>
            <w:pPr>
              <w:jc w:val="center"/>
            </w:pPr>
            <w:r/>
            <w:r>
              <w:rPr>
                <w:sz w:val="20"/>
              </w:rPr>
              <w:t>+47.4</w:t>
            </w:r>
          </w:p>
        </w:tc>
      </w:tr>
      <w:tr>
        <w:tc>
          <w:tcPr>
            <w:tcW w:type="dxa" w:w="1083"/>
            <w:vAlign w:val="center"/>
          </w:tcPr>
          <w:p>
            <w:pPr>
              <w:jc w:val="left"/>
            </w:pPr>
            <w:r/>
            <w:r>
              <w:rPr>
                <w:b/>
                <w:sz w:val="20"/>
              </w:rPr>
              <w:t>Biratnagar</w:t>
            </w:r>
          </w:p>
        </w:tc>
        <w:tc>
          <w:tcPr>
            <w:tcW w:type="dxa" w:w="1083"/>
            <w:vAlign w:val="center"/>
          </w:tcPr>
          <w:p>
            <w:pPr>
              <w:jc w:val="center"/>
            </w:pPr>
            <w:r/>
            <w:r>
              <w:rPr>
                <w:sz w:val="20"/>
              </w:rPr>
              <w:t>0.9</w:t>
            </w:r>
          </w:p>
        </w:tc>
        <w:tc>
          <w:tcPr>
            <w:tcW w:type="dxa" w:w="1083"/>
            <w:vAlign w:val="center"/>
          </w:tcPr>
          <w:p>
            <w:pPr>
              <w:jc w:val="center"/>
            </w:pPr>
            <w:r/>
            <w:r>
              <w:rPr>
                <w:sz w:val="20"/>
              </w:rPr>
              <w:t>14.63</w:t>
            </w:r>
          </w:p>
        </w:tc>
        <w:tc>
          <w:tcPr>
            <w:tcW w:type="dxa" w:w="1083"/>
            <w:vAlign w:val="center"/>
          </w:tcPr>
          <w:p>
            <w:pPr>
              <w:jc w:val="center"/>
            </w:pPr>
            <w:r/>
            <w:r>
              <w:rPr>
                <w:sz w:val="20"/>
              </w:rPr>
              <w:t>0.423</w:t>
            </w:r>
          </w:p>
        </w:tc>
        <w:tc>
          <w:tcPr>
            <w:tcW w:type="dxa" w:w="1083"/>
            <w:vAlign w:val="center"/>
          </w:tcPr>
          <w:p>
            <w:pPr>
              <w:jc w:val="center"/>
            </w:pPr>
            <w:r/>
            <w:r>
              <w:rPr>
                <w:sz w:val="20"/>
              </w:rPr>
              <w:t>7.59</w:t>
            </w:r>
          </w:p>
        </w:tc>
        <w:tc>
          <w:tcPr>
            <w:tcW w:type="dxa" w:w="1083"/>
            <w:vAlign w:val="center"/>
          </w:tcPr>
          <w:p>
            <w:pPr>
              <w:jc w:val="center"/>
            </w:pPr>
            <w:r/>
            <w:r>
              <w:rPr>
                <w:sz w:val="20"/>
              </w:rPr>
              <w:t>25.4</w:t>
            </w:r>
          </w:p>
        </w:tc>
        <w:tc>
          <w:tcPr>
            <w:tcW w:type="dxa" w:w="1083"/>
            <w:vAlign w:val="center"/>
          </w:tcPr>
          <w:p>
            <w:pPr>
              <w:jc w:val="center"/>
            </w:pPr>
            <w:r/>
            <w:r>
              <w:rPr>
                <w:sz w:val="20"/>
              </w:rPr>
              <w:t>0.757</w:t>
            </w:r>
          </w:p>
        </w:tc>
        <w:tc>
          <w:tcPr>
            <w:tcW w:type="dxa" w:w="1083"/>
            <w:vAlign w:val="center"/>
          </w:tcPr>
          <w:p>
            <w:pPr>
              <w:jc w:val="center"/>
            </w:pPr>
            <w:r/>
            <w:r>
              <w:rPr>
                <w:sz w:val="20"/>
              </w:rPr>
              <w:t>4.04</w:t>
            </w:r>
          </w:p>
        </w:tc>
        <w:tc>
          <w:tcPr>
            <w:tcW w:type="dxa" w:w="1083"/>
            <w:vAlign w:val="center"/>
          </w:tcPr>
          <w:p>
            <w:pPr>
              <w:jc w:val="center"/>
            </w:pPr>
            <w:r/>
            <w:r>
              <w:rPr>
                <w:sz w:val="20"/>
              </w:rPr>
              <w:t>+47.3</w:t>
            </w:r>
          </w:p>
        </w:tc>
      </w:tr>
      <w:tr>
        <w:tc>
          <w:tcPr>
            <w:tcW w:type="dxa" w:w="1083"/>
            <w:vAlign w:val="center"/>
          </w:tcPr>
          <w:p>
            <w:pPr>
              <w:jc w:val="left"/>
            </w:pPr>
            <w:r/>
            <w:r>
              <w:rPr>
                <w:b/>
                <w:sz w:val="20"/>
              </w:rPr>
              <w:t>Biratnagar</w:t>
            </w:r>
          </w:p>
        </w:tc>
        <w:tc>
          <w:tcPr>
            <w:tcW w:type="dxa" w:w="1083"/>
            <w:vAlign w:val="center"/>
          </w:tcPr>
          <w:p>
            <w:pPr>
              <w:jc w:val="center"/>
            </w:pPr>
            <w:r/>
            <w:r>
              <w:rPr>
                <w:sz w:val="20"/>
              </w:rPr>
              <w:t>1.0</w:t>
            </w:r>
          </w:p>
        </w:tc>
        <w:tc>
          <w:tcPr>
            <w:tcW w:type="dxa" w:w="1083"/>
            <w:vAlign w:val="center"/>
          </w:tcPr>
          <w:p>
            <w:pPr>
              <w:jc w:val="center"/>
            </w:pPr>
            <w:r/>
            <w:r>
              <w:rPr>
                <w:sz w:val="20"/>
              </w:rPr>
              <w:t>14.73</w:t>
            </w:r>
          </w:p>
        </w:tc>
        <w:tc>
          <w:tcPr>
            <w:tcW w:type="dxa" w:w="1083"/>
            <w:vAlign w:val="center"/>
          </w:tcPr>
          <w:p>
            <w:pPr>
              <w:jc w:val="center"/>
            </w:pPr>
            <w:r/>
            <w:r>
              <w:rPr>
                <w:sz w:val="20"/>
              </w:rPr>
              <w:t>0.423</w:t>
            </w:r>
          </w:p>
        </w:tc>
        <w:tc>
          <w:tcPr>
            <w:tcW w:type="dxa" w:w="1083"/>
            <w:vAlign w:val="center"/>
          </w:tcPr>
          <w:p>
            <w:pPr>
              <w:jc w:val="center"/>
            </w:pPr>
            <w:r/>
            <w:r>
              <w:rPr>
                <w:sz w:val="20"/>
              </w:rPr>
              <w:t>7.60</w:t>
            </w:r>
          </w:p>
        </w:tc>
        <w:tc>
          <w:tcPr>
            <w:tcW w:type="dxa" w:w="1083"/>
            <w:vAlign w:val="center"/>
          </w:tcPr>
          <w:p>
            <w:pPr>
              <w:jc w:val="center"/>
            </w:pPr>
            <w:r/>
            <w:r>
              <w:rPr>
                <w:sz w:val="20"/>
              </w:rPr>
              <w:t>25.3</w:t>
            </w:r>
          </w:p>
        </w:tc>
        <w:tc>
          <w:tcPr>
            <w:tcW w:type="dxa" w:w="1083"/>
            <w:vAlign w:val="center"/>
          </w:tcPr>
          <w:p>
            <w:pPr>
              <w:jc w:val="center"/>
            </w:pPr>
            <w:r/>
            <w:r>
              <w:rPr>
                <w:sz w:val="20"/>
              </w:rPr>
              <w:t>0.756</w:t>
            </w:r>
          </w:p>
        </w:tc>
        <w:tc>
          <w:tcPr>
            <w:tcW w:type="dxa" w:w="1083"/>
            <w:vAlign w:val="center"/>
          </w:tcPr>
          <w:p>
            <w:pPr>
              <w:jc w:val="center"/>
            </w:pPr>
            <w:r/>
            <w:r>
              <w:rPr>
                <w:sz w:val="20"/>
              </w:rPr>
              <w:t>4.04</w:t>
            </w:r>
          </w:p>
        </w:tc>
        <w:tc>
          <w:tcPr>
            <w:tcW w:type="dxa" w:w="1083"/>
            <w:vAlign w:val="center"/>
          </w:tcPr>
          <w:p>
            <w:pPr>
              <w:jc w:val="center"/>
            </w:pPr>
            <w:r/>
            <w:r>
              <w:rPr>
                <w:sz w:val="20"/>
              </w:rPr>
              <w:t>+47.5</w:t>
            </w:r>
          </w:p>
        </w:tc>
      </w:tr>
    </w:tbl>
    <w:p>
      <w:pPr>
        <w:spacing w:after="80"/>
      </w:pPr>
      <w:r>
        <w:rPr>
          <w:b w:val="0"/>
          <w:i w:val="0"/>
          <w:sz w:val="22"/>
        </w:rPr>
        <w:t>Recirculation behaves very differently in Config B than in Config A, and the most striking feature of the sweep is not the SEC value itself but the drying time. At both Kathmandu and Biratnagar, moderate recirculation pushes drying from a one-day run of roughly 14 to 15 h into an extended two-day run of 27 to 31 h, and then collapses back to a one-day run once r exceeds a site-specific threshold. The threshold itself is physically meaningful. At Biratnagar the transition occurs between r = 0.6 (26.4 h) and r = 0.7 (14.8 h); at Kathmandu it shifts higher, to between r = 0.7 (29.0 h) and r = 0.8 (16.0 h). The transition marks the recirculation ratio above which the evaporator removes enough water per pass to keep the chamber inlet dry enough to sustain drying through the night, when the collector is idle.</w:t>
      </w:r>
    </w:p>
    <w:p>
      <w:pPr>
        <w:spacing w:after="80"/>
      </w:pPr>
      <w:r>
        <w:rPr>
          <w:b w:val="0"/>
          <w:i w:val="0"/>
          <w:sz w:val="22"/>
        </w:rPr>
        <w:t>The cycle interaction that causes this bifurcation is absent from Config A. When r increases, the chamber exhaust mixes with ambient air on ω and h, and the evaporator is forced to dehumidify the warmer, moister mix. Because the coil is pinned at 5 °C, the evaporator outlet is always close to 8 °C regardless of inlet, and very cold air enters the solar collector. The large (T_absorber − T_air_in) then shifts the collector operating point towards higher absorber temperature, which through the U_L loss term reduces collector efficiency. At Kathmandu the ambient dew point is low enough that the evaporator only lightly dehumidifies, and the compressor savings dominate at moderate r (SEC drops to 0.386 kWh/kg at r = 0.2, a 21 % improvement on the r = 0 baseline). At Biratnagar the much higher ambient ω means the evaporator removes large amounts of water, the evaporator outlet is near-saturated at 8 °C, the collector loses much of its useful gain, and drying still stretches into a second day where nighttime humidity further slows the rate. SEC therefore inflates by +47 to +133 % across the Biratnagar sweep, peaking near r = 0.6.</w:t>
      </w:r>
    </w:p>
    <w:p>
      <w:pPr>
        <w:spacing w:after="80"/>
      </w:pPr>
      <w:r>
        <w:rPr>
          <w:b w:val="0"/>
          <w:i w:val="0"/>
          <w:sz w:val="22"/>
        </w:rPr>
        <w:t>Once the sweep crosses the one-day threshold (r ≥ 0.7 at Biratnagar, r ≥ 0.8 at Kathmandu), SEC settles to a narrow band: 0.47 to 0.49 kWh/kg at KTM, 0.42 kWh/kg at BTN. These values are close to the open-loop Config B SEC at Kathmandu but still 47 % above the open-loop Biratnagar baseline, because the evaporator is still doing latent work that the climate does not reward with faster drying. The condenser still reheats the air to 45 °C, and the drying kinetics are only weakly responsive to inlet ω in this regime, so the latent load is effectively wasted. This is the late-drying inefficiency that motivates the VPD-bypass strategy analysed in Section 4.</w:t>
      </w:r>
    </w:p>
    <w:p>
      <w:pPr>
        <w:pStyle w:val="Heading2"/>
      </w:pPr>
      <w:r>
        <w:rPr>
          <w:color w:val="1F2D5A"/>
        </w:rPr>
        <w:t>2.5  Preview of the VPD Bypass Benefit</w:t>
      </w:r>
    </w:p>
    <w:p>
      <w:pPr>
        <w:spacing w:before="120" w:after="40"/>
      </w:pPr>
      <w:r>
        <w:rPr>
          <w:b/>
          <w:sz w:val="20"/>
        </w:rPr>
        <w:t>Table 7. Config B VPD-bypass benefit at r = 0.9, annual TMY, 10 m² collector. Baseline is the plain closed-loop run at the same r; VPD is the oscillating condenser-direct bypass strategy analysed in Section 4.</w:t>
      </w:r>
    </w:p>
    <w:tbl>
      <w:tblPr>
        <w:tblStyle w:val="LightGrid-Accent1"/>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vAlign w:val="center"/>
            <w:shd w:val="clear" w:color="auto" w:fill="E6ECF5"/>
          </w:tcPr>
          <w:p>
            <w:pPr>
              <w:jc w:val="center"/>
            </w:pPr>
            <w:r/>
            <w:r>
              <w:rPr>
                <w:b/>
                <w:sz w:val="20"/>
              </w:rPr>
              <w:t>Location</w:t>
            </w:r>
          </w:p>
        </w:tc>
        <w:tc>
          <w:tcPr>
            <w:tcW w:type="dxa" w:w="975"/>
            <w:vAlign w:val="center"/>
            <w:shd w:val="clear" w:color="auto" w:fill="E6ECF5"/>
          </w:tcPr>
          <w:p>
            <w:pPr>
              <w:jc w:val="center"/>
            </w:pPr>
            <w:r/>
            <w:r>
              <w:rPr>
                <w:b/>
                <w:sz w:val="20"/>
              </w:rPr>
              <w:t>Baseline t (h)</w:t>
            </w:r>
          </w:p>
        </w:tc>
        <w:tc>
          <w:tcPr>
            <w:tcW w:type="dxa" w:w="975"/>
            <w:vAlign w:val="center"/>
            <w:shd w:val="clear" w:color="auto" w:fill="E6ECF5"/>
          </w:tcPr>
          <w:p>
            <w:pPr>
              <w:jc w:val="center"/>
            </w:pPr>
            <w:r/>
            <w:r>
              <w:rPr>
                <w:b/>
                <w:sz w:val="20"/>
              </w:rPr>
              <w:t>VPD t (h)</w:t>
            </w:r>
          </w:p>
        </w:tc>
        <w:tc>
          <w:tcPr>
            <w:tcW w:type="dxa" w:w="975"/>
            <w:vAlign w:val="center"/>
            <w:shd w:val="clear" w:color="auto" w:fill="E6ECF5"/>
          </w:tcPr>
          <w:p>
            <w:pPr>
              <w:jc w:val="center"/>
            </w:pPr>
            <w:r/>
            <w:r>
              <w:rPr>
                <w:b/>
                <w:sz w:val="20"/>
              </w:rPr>
              <w:t>Baseline SEC</w:t>
            </w:r>
          </w:p>
        </w:tc>
        <w:tc>
          <w:tcPr>
            <w:tcW w:type="dxa" w:w="975"/>
            <w:vAlign w:val="center"/>
            <w:shd w:val="clear" w:color="auto" w:fill="E6ECF5"/>
          </w:tcPr>
          <w:p>
            <w:pPr>
              <w:jc w:val="center"/>
            </w:pPr>
            <w:r/>
            <w:r>
              <w:rPr>
                <w:b/>
                <w:sz w:val="20"/>
              </w:rPr>
              <w:t>VPD SEC</w:t>
            </w:r>
          </w:p>
        </w:tc>
        <w:tc>
          <w:tcPr>
            <w:tcW w:type="dxa" w:w="975"/>
            <w:vAlign w:val="center"/>
            <w:shd w:val="clear" w:color="auto" w:fill="E6ECF5"/>
          </w:tcPr>
          <w:p>
            <w:pPr>
              <w:jc w:val="center"/>
            </w:pPr>
            <w:r/>
            <w:r>
              <w:rPr>
                <w:b/>
                <w:sz w:val="20"/>
              </w:rPr>
              <w:t>Baseline W_comp</w:t>
            </w:r>
          </w:p>
        </w:tc>
        <w:tc>
          <w:tcPr>
            <w:tcW w:type="dxa" w:w="975"/>
            <w:vAlign w:val="center"/>
            <w:shd w:val="clear" w:color="auto" w:fill="E6ECF5"/>
          </w:tcPr>
          <w:p>
            <w:pPr>
              <w:jc w:val="center"/>
            </w:pPr>
            <w:r/>
            <w:r>
              <w:rPr>
                <w:b/>
                <w:sz w:val="20"/>
              </w:rPr>
              <w:t>VPD W_comp</w:t>
            </w:r>
          </w:p>
        </w:tc>
        <w:tc>
          <w:tcPr>
            <w:tcW w:type="dxa" w:w="975"/>
            <w:vAlign w:val="center"/>
            <w:shd w:val="clear" w:color="auto" w:fill="E6ECF5"/>
          </w:tcPr>
          <w:p>
            <w:pPr>
              <w:jc w:val="center"/>
            </w:pPr>
            <w:r/>
            <w:r>
              <w:rPr>
                <w:b/>
                <w:sz w:val="20"/>
              </w:rPr>
              <w:t>Baseline solar frac</w:t>
            </w:r>
          </w:p>
        </w:tc>
        <w:tc>
          <w:tcPr>
            <w:tcW w:type="dxa" w:w="975"/>
            <w:vAlign w:val="center"/>
            <w:shd w:val="clear" w:color="auto" w:fill="E6ECF5"/>
          </w:tcPr>
          <w:p>
            <w:pPr>
              <w:jc w:val="center"/>
            </w:pPr>
            <w:r/>
            <w:r>
              <w:rPr>
                <w:b/>
                <w:sz w:val="20"/>
              </w:rPr>
              <w:t>VPD solar frac</w:t>
            </w:r>
          </w:p>
        </w:tc>
        <w:tc>
          <w:tcPr>
            <w:tcW w:type="dxa" w:w="975"/>
            <w:vAlign w:val="center"/>
            <w:shd w:val="clear" w:color="auto" w:fill="E6ECF5"/>
          </w:tcPr>
          <w:p>
            <w:pPr>
              <w:jc w:val="center"/>
            </w:pPr>
            <w:r/>
            <w:r>
              <w:rPr>
                <w:b/>
                <w:sz w:val="20"/>
              </w:rPr>
              <w:t>ΔSEC (%)</w:t>
            </w:r>
          </w:p>
        </w:tc>
      </w:tr>
      <w:tr>
        <w:tc>
          <w:tcPr>
            <w:tcW w:type="dxa" w:w="975"/>
            <w:vAlign w:val="center"/>
          </w:tcPr>
          <w:p>
            <w:pPr>
              <w:jc w:val="left"/>
            </w:pPr>
            <w:r/>
            <w:r>
              <w:rPr>
                <w:b/>
                <w:sz w:val="20"/>
              </w:rPr>
              <w:t>Kathmandu</w:t>
            </w:r>
          </w:p>
        </w:tc>
        <w:tc>
          <w:tcPr>
            <w:tcW w:type="dxa" w:w="975"/>
            <w:vAlign w:val="center"/>
          </w:tcPr>
          <w:p>
            <w:pPr>
              <w:jc w:val="center"/>
            </w:pPr>
            <w:r/>
            <w:r>
              <w:rPr>
                <w:sz w:val="20"/>
              </w:rPr>
              <w:t>14.92</w:t>
            </w:r>
          </w:p>
        </w:tc>
        <w:tc>
          <w:tcPr>
            <w:tcW w:type="dxa" w:w="975"/>
            <w:vAlign w:val="center"/>
          </w:tcPr>
          <w:p>
            <w:pPr>
              <w:jc w:val="center"/>
            </w:pPr>
            <w:r/>
            <w:r>
              <w:rPr>
                <w:sz w:val="20"/>
              </w:rPr>
              <w:t>17.68</w:t>
            </w:r>
          </w:p>
        </w:tc>
        <w:tc>
          <w:tcPr>
            <w:tcW w:type="dxa" w:w="975"/>
            <w:vAlign w:val="center"/>
          </w:tcPr>
          <w:p>
            <w:pPr>
              <w:jc w:val="center"/>
            </w:pPr>
            <w:r/>
            <w:r>
              <w:rPr>
                <w:sz w:val="20"/>
              </w:rPr>
              <w:t>0.469</w:t>
            </w:r>
          </w:p>
        </w:tc>
        <w:tc>
          <w:tcPr>
            <w:tcW w:type="dxa" w:w="975"/>
            <w:vAlign w:val="center"/>
          </w:tcPr>
          <w:p>
            <w:pPr>
              <w:jc w:val="center"/>
            </w:pPr>
            <w:r/>
            <w:r>
              <w:rPr>
                <w:sz w:val="20"/>
              </w:rPr>
              <w:t>0.343</w:t>
            </w:r>
          </w:p>
        </w:tc>
        <w:tc>
          <w:tcPr>
            <w:tcW w:type="dxa" w:w="975"/>
            <w:vAlign w:val="center"/>
          </w:tcPr>
          <w:p>
            <w:pPr>
              <w:jc w:val="center"/>
            </w:pPr>
            <w:r/>
            <w:r>
              <w:rPr>
                <w:sz w:val="20"/>
              </w:rPr>
              <w:t>8.49</w:t>
            </w:r>
          </w:p>
        </w:tc>
        <w:tc>
          <w:tcPr>
            <w:tcW w:type="dxa" w:w="975"/>
            <w:vAlign w:val="center"/>
          </w:tcPr>
          <w:p>
            <w:pPr>
              <w:jc w:val="center"/>
            </w:pPr>
            <w:r/>
            <w:r>
              <w:rPr>
                <w:sz w:val="20"/>
              </w:rPr>
              <w:t>5.94</w:t>
            </w:r>
          </w:p>
        </w:tc>
        <w:tc>
          <w:tcPr>
            <w:tcW w:type="dxa" w:w="975"/>
            <w:vAlign w:val="center"/>
          </w:tcPr>
          <w:p>
            <w:pPr>
              <w:jc w:val="center"/>
            </w:pPr>
            <w:r/>
            <w:r>
              <w:rPr>
                <w:sz w:val="20"/>
              </w:rPr>
              <w:t>0.628</w:t>
            </w:r>
          </w:p>
        </w:tc>
        <w:tc>
          <w:tcPr>
            <w:tcW w:type="dxa" w:w="975"/>
            <w:vAlign w:val="center"/>
          </w:tcPr>
          <w:p>
            <w:pPr>
              <w:jc w:val="center"/>
            </w:pPr>
            <w:r/>
            <w:r>
              <w:rPr>
                <w:sz w:val="20"/>
              </w:rPr>
              <w:t>0.660</w:t>
            </w:r>
          </w:p>
        </w:tc>
        <w:tc>
          <w:tcPr>
            <w:tcW w:type="dxa" w:w="975"/>
            <w:vAlign w:val="center"/>
          </w:tcPr>
          <w:p>
            <w:pPr>
              <w:jc w:val="center"/>
            </w:pPr>
            <w:r/>
            <w:r>
              <w:rPr>
                <w:sz w:val="20"/>
              </w:rPr>
              <w:t>27.0</w:t>
            </w:r>
          </w:p>
        </w:tc>
      </w:tr>
      <w:tr>
        <w:tc>
          <w:tcPr>
            <w:tcW w:type="dxa" w:w="975"/>
            <w:vAlign w:val="center"/>
          </w:tcPr>
          <w:p>
            <w:pPr>
              <w:jc w:val="left"/>
            </w:pPr>
            <w:r/>
            <w:r>
              <w:rPr>
                <w:b/>
                <w:sz w:val="20"/>
              </w:rPr>
              <w:t>Biratnagar</w:t>
            </w:r>
          </w:p>
        </w:tc>
        <w:tc>
          <w:tcPr>
            <w:tcW w:type="dxa" w:w="975"/>
            <w:vAlign w:val="center"/>
          </w:tcPr>
          <w:p>
            <w:pPr>
              <w:jc w:val="center"/>
            </w:pPr>
            <w:r/>
            <w:r>
              <w:rPr>
                <w:sz w:val="20"/>
              </w:rPr>
              <w:t>14.63</w:t>
            </w:r>
          </w:p>
        </w:tc>
        <w:tc>
          <w:tcPr>
            <w:tcW w:type="dxa" w:w="975"/>
            <w:vAlign w:val="center"/>
          </w:tcPr>
          <w:p>
            <w:pPr>
              <w:jc w:val="center"/>
            </w:pPr>
            <w:r/>
            <w:r>
              <w:rPr>
                <w:sz w:val="20"/>
              </w:rPr>
              <w:t>17.65</w:t>
            </w:r>
          </w:p>
        </w:tc>
        <w:tc>
          <w:tcPr>
            <w:tcW w:type="dxa" w:w="975"/>
            <w:vAlign w:val="center"/>
          </w:tcPr>
          <w:p>
            <w:pPr>
              <w:jc w:val="center"/>
            </w:pPr>
            <w:r/>
            <w:r>
              <w:rPr>
                <w:sz w:val="20"/>
              </w:rPr>
              <w:t>0.423</w:t>
            </w:r>
          </w:p>
        </w:tc>
        <w:tc>
          <w:tcPr>
            <w:tcW w:type="dxa" w:w="975"/>
            <w:vAlign w:val="center"/>
          </w:tcPr>
          <w:p>
            <w:pPr>
              <w:jc w:val="center"/>
            </w:pPr>
            <w:r/>
            <w:r>
              <w:rPr>
                <w:sz w:val="20"/>
              </w:rPr>
              <w:t>0.333</w:t>
            </w:r>
          </w:p>
        </w:tc>
        <w:tc>
          <w:tcPr>
            <w:tcW w:type="dxa" w:w="975"/>
            <w:vAlign w:val="center"/>
          </w:tcPr>
          <w:p>
            <w:pPr>
              <w:jc w:val="center"/>
            </w:pPr>
            <w:r/>
            <w:r>
              <w:rPr>
                <w:sz w:val="20"/>
              </w:rPr>
              <w:t>7.59</w:t>
            </w:r>
          </w:p>
        </w:tc>
        <w:tc>
          <w:tcPr>
            <w:tcW w:type="dxa" w:w="975"/>
            <w:vAlign w:val="center"/>
          </w:tcPr>
          <w:p>
            <w:pPr>
              <w:jc w:val="center"/>
            </w:pPr>
            <w:r/>
            <w:r>
              <w:rPr>
                <w:sz w:val="20"/>
              </w:rPr>
              <w:t>5.74</w:t>
            </w:r>
          </w:p>
        </w:tc>
        <w:tc>
          <w:tcPr>
            <w:tcW w:type="dxa" w:w="975"/>
            <w:vAlign w:val="center"/>
          </w:tcPr>
          <w:p>
            <w:pPr>
              <w:jc w:val="center"/>
            </w:pPr>
            <w:r/>
            <w:r>
              <w:rPr>
                <w:sz w:val="20"/>
              </w:rPr>
              <w:t>0.757</w:t>
            </w:r>
          </w:p>
        </w:tc>
        <w:tc>
          <w:tcPr>
            <w:tcW w:type="dxa" w:w="975"/>
            <w:vAlign w:val="center"/>
          </w:tcPr>
          <w:p>
            <w:pPr>
              <w:jc w:val="center"/>
            </w:pPr>
            <w:r/>
            <w:r>
              <w:rPr>
                <w:sz w:val="20"/>
              </w:rPr>
              <w:t>0.777</w:t>
            </w:r>
          </w:p>
        </w:tc>
        <w:tc>
          <w:tcPr>
            <w:tcW w:type="dxa" w:w="975"/>
            <w:vAlign w:val="center"/>
          </w:tcPr>
          <w:p>
            <w:pPr>
              <w:jc w:val="center"/>
            </w:pPr>
            <w:r/>
            <w:r>
              <w:rPr>
                <w:sz w:val="20"/>
              </w:rPr>
              <w:t>21.2</w:t>
            </w:r>
          </w:p>
        </w:tc>
      </w:tr>
      <w:tr>
        <w:tc>
          <w:tcPr>
            <w:tcW w:type="dxa" w:w="975"/>
            <w:vAlign w:val="center"/>
          </w:tcPr>
          <w:p>
            <w:pPr>
              <w:jc w:val="left"/>
            </w:pPr>
            <w:r/>
            <w:r>
              <w:rPr>
                <w:b/>
                <w:sz w:val="20"/>
              </w:rPr>
              <w:t>Taplejung</w:t>
            </w:r>
          </w:p>
        </w:tc>
        <w:tc>
          <w:tcPr>
            <w:tcW w:type="dxa" w:w="975"/>
            <w:vAlign w:val="center"/>
          </w:tcPr>
          <w:p>
            <w:pPr>
              <w:jc w:val="center"/>
            </w:pPr>
            <w:r/>
            <w:r>
              <w:rPr>
                <w:sz w:val="20"/>
              </w:rPr>
              <w:t>15.23</w:t>
            </w:r>
          </w:p>
        </w:tc>
        <w:tc>
          <w:tcPr>
            <w:tcW w:type="dxa" w:w="975"/>
            <w:vAlign w:val="center"/>
          </w:tcPr>
          <w:p>
            <w:pPr>
              <w:jc w:val="center"/>
            </w:pPr>
            <w:r/>
            <w:r>
              <w:rPr>
                <w:sz w:val="20"/>
              </w:rPr>
              <w:t>15.82</w:t>
            </w:r>
          </w:p>
        </w:tc>
        <w:tc>
          <w:tcPr>
            <w:tcW w:type="dxa" w:w="975"/>
            <w:vAlign w:val="center"/>
          </w:tcPr>
          <w:p>
            <w:pPr>
              <w:jc w:val="center"/>
            </w:pPr>
            <w:r/>
            <w:r>
              <w:rPr>
                <w:sz w:val="20"/>
              </w:rPr>
              <w:t>0.416</w:t>
            </w:r>
          </w:p>
        </w:tc>
        <w:tc>
          <w:tcPr>
            <w:tcW w:type="dxa" w:w="975"/>
            <w:vAlign w:val="center"/>
          </w:tcPr>
          <w:p>
            <w:pPr>
              <w:jc w:val="center"/>
            </w:pPr>
            <w:r/>
            <w:r>
              <w:rPr>
                <w:sz w:val="20"/>
              </w:rPr>
              <w:t>0.285</w:t>
            </w:r>
          </w:p>
        </w:tc>
        <w:tc>
          <w:tcPr>
            <w:tcW w:type="dxa" w:w="975"/>
            <w:vAlign w:val="center"/>
          </w:tcPr>
          <w:p>
            <w:pPr>
              <w:jc w:val="center"/>
            </w:pPr>
            <w:r/>
            <w:r>
              <w:rPr>
                <w:sz w:val="20"/>
              </w:rPr>
              <w:t>7.45</w:t>
            </w:r>
          </w:p>
        </w:tc>
        <w:tc>
          <w:tcPr>
            <w:tcW w:type="dxa" w:w="975"/>
            <w:vAlign w:val="center"/>
          </w:tcPr>
          <w:p>
            <w:pPr>
              <w:jc w:val="center"/>
            </w:pPr>
            <w:r/>
            <w:r>
              <w:rPr>
                <w:sz w:val="20"/>
              </w:rPr>
              <w:t>4.90</w:t>
            </w:r>
          </w:p>
        </w:tc>
        <w:tc>
          <w:tcPr>
            <w:tcW w:type="dxa" w:w="975"/>
            <w:vAlign w:val="center"/>
          </w:tcPr>
          <w:p>
            <w:pPr>
              <w:jc w:val="center"/>
            </w:pPr>
            <w:r/>
            <w:r>
              <w:rPr>
                <w:sz w:val="20"/>
              </w:rPr>
              <w:t>0.687</w:t>
            </w:r>
          </w:p>
        </w:tc>
        <w:tc>
          <w:tcPr>
            <w:tcW w:type="dxa" w:w="975"/>
            <w:vAlign w:val="center"/>
          </w:tcPr>
          <w:p>
            <w:pPr>
              <w:jc w:val="center"/>
            </w:pPr>
            <w:r/>
            <w:r>
              <w:rPr>
                <w:sz w:val="20"/>
              </w:rPr>
              <w:t>0.762</w:t>
            </w:r>
          </w:p>
        </w:tc>
        <w:tc>
          <w:tcPr>
            <w:tcW w:type="dxa" w:w="975"/>
            <w:vAlign w:val="center"/>
          </w:tcPr>
          <w:p>
            <w:pPr>
              <w:jc w:val="center"/>
            </w:pPr>
            <w:r/>
            <w:r>
              <w:rPr>
                <w:sz w:val="20"/>
              </w:rPr>
              <w:t>31.5</w:t>
            </w:r>
          </w:p>
        </w:tc>
      </w:tr>
    </w:tbl>
    <w:p>
      <w:pPr>
        <w:spacing w:after="80"/>
      </w:pPr>
      <w:r>
        <w:rPr>
          <w:b w:val="0"/>
          <w:i w:val="0"/>
          <w:sz w:val="22"/>
        </w:rPr>
        <w:t>Letting the controller skip the evaporator whenever the exhaust vapour-pressure deficit is already comfortably above the drying threshold recovers most of the recirculation penalty. At r = 0.9 annual TMY, VPD-bypass cuts SEC by 27 % at Kathmandu, 21 % at Biratnagar, and 32 % at Taplejung. The full mechanism is developed in Section 4 together with the analogous Config D/E results, but the preview is useful here because it shows that the upward slope of the Biratnagar recirculation curve in Table 6 is not an intrinsic limitation of solar-assisted closed-loop drying; it is an artefact of running the evaporator unconditionally.</w:t>
      </w:r>
    </w:p>
    <w:p>
      <w:pPr>
        <w:pStyle w:val="Heading2"/>
      </w:pPr>
      <w:r>
        <w:rPr>
          <w:color w:val="1F2D5A"/>
        </w:rPr>
        <w:t>2.6  Collector Area Sweep (Kathmandu)</w:t>
      </w:r>
    </w:p>
    <w:p>
      <w:pPr>
        <w:spacing w:before="120" w:after="40"/>
      </w:pPr>
      <w:r>
        <w:rPr>
          <w:b/>
          <w:sz w:val="20"/>
        </w:rPr>
        <w:t>Table 8. Config B collector-area sensitivity at Kathmandu, r = 0, annual TMY.</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val="clear" w:color="auto" w:fill="E6ECF5"/>
          </w:tcPr>
          <w:p>
            <w:pPr>
              <w:jc w:val="center"/>
            </w:pPr>
            <w:r/>
            <w:r>
              <w:rPr>
                <w:b/>
                <w:sz w:val="20"/>
              </w:rPr>
              <w:t>Area (m²)</w:t>
            </w:r>
          </w:p>
        </w:tc>
        <w:tc>
          <w:tcPr>
            <w:tcW w:type="dxa" w:w="1392"/>
            <w:vAlign w:val="center"/>
            <w:shd w:val="clear" w:color="auto" w:fill="E6ECF5"/>
          </w:tcPr>
          <w:p>
            <w:pPr>
              <w:jc w:val="center"/>
            </w:pPr>
            <w:r/>
            <w:r>
              <w:rPr>
                <w:b/>
                <w:sz w:val="20"/>
              </w:rPr>
              <w:t>Time (h)</w:t>
            </w:r>
          </w:p>
        </w:tc>
        <w:tc>
          <w:tcPr>
            <w:tcW w:type="dxa" w:w="1392"/>
            <w:vAlign w:val="center"/>
            <w:shd w:val="clear" w:color="auto" w:fill="E6ECF5"/>
          </w:tcPr>
          <w:p>
            <w:pPr>
              <w:jc w:val="center"/>
            </w:pPr>
            <w:r/>
            <w:r>
              <w:rPr>
                <w:b/>
                <w:sz w:val="20"/>
              </w:rPr>
              <w:t>SEC (kWh/kg)</w:t>
            </w:r>
          </w:p>
        </w:tc>
        <w:tc>
          <w:tcPr>
            <w:tcW w:type="dxa" w:w="1392"/>
            <w:vAlign w:val="center"/>
            <w:shd w:val="clear" w:color="auto" w:fill="E6ECF5"/>
          </w:tcPr>
          <w:p>
            <w:pPr>
              <w:jc w:val="center"/>
            </w:pPr>
            <w:r/>
            <w:r>
              <w:rPr>
                <w:b/>
                <w:sz w:val="20"/>
              </w:rPr>
              <w:t>W_comp (kWh)</w:t>
            </w:r>
          </w:p>
        </w:tc>
        <w:tc>
          <w:tcPr>
            <w:tcW w:type="dxa" w:w="1392"/>
            <w:vAlign w:val="center"/>
            <w:shd w:val="clear" w:color="auto" w:fill="E6ECF5"/>
          </w:tcPr>
          <w:p>
            <w:pPr>
              <w:jc w:val="center"/>
            </w:pPr>
            <w:r/>
            <w:r>
              <w:rPr>
                <w:b/>
                <w:sz w:val="20"/>
              </w:rPr>
              <w:t>Q_solar (kWh)</w:t>
            </w:r>
          </w:p>
        </w:tc>
        <w:tc>
          <w:tcPr>
            <w:tcW w:type="dxa" w:w="1392"/>
            <w:vAlign w:val="center"/>
            <w:shd w:val="clear" w:color="auto" w:fill="E6ECF5"/>
          </w:tcPr>
          <w:p>
            <w:pPr>
              <w:jc w:val="center"/>
            </w:pPr>
            <w:r/>
            <w:r>
              <w:rPr>
                <w:b/>
                <w:sz w:val="20"/>
              </w:rPr>
              <w:t>Solar frac</w:t>
            </w:r>
          </w:p>
        </w:tc>
        <w:tc>
          <w:tcPr>
            <w:tcW w:type="dxa" w:w="1392"/>
            <w:vAlign w:val="center"/>
            <w:shd w:val="clear" w:color="auto" w:fill="E6ECF5"/>
          </w:tcPr>
          <w:p>
            <w:pPr>
              <w:jc w:val="center"/>
            </w:pPr>
            <w:r/>
            <w:r>
              <w:rPr>
                <w:b/>
                <w:sz w:val="20"/>
              </w:rPr>
              <w:t>COP</w:t>
            </w:r>
          </w:p>
        </w:tc>
      </w:tr>
      <w:tr>
        <w:tc>
          <w:tcPr>
            <w:tcW w:type="dxa" w:w="1392"/>
            <w:vAlign w:val="center"/>
          </w:tcPr>
          <w:p>
            <w:pPr>
              <w:jc w:val="left"/>
            </w:pPr>
            <w:r/>
            <w:r>
              <w:rPr>
                <w:b/>
                <w:sz w:val="20"/>
              </w:rPr>
              <w:t>5</w:t>
            </w:r>
          </w:p>
        </w:tc>
        <w:tc>
          <w:tcPr>
            <w:tcW w:type="dxa" w:w="1392"/>
            <w:vAlign w:val="center"/>
          </w:tcPr>
          <w:p>
            <w:pPr>
              <w:jc w:val="center"/>
            </w:pPr>
            <w:r/>
            <w:r>
              <w:rPr>
                <w:sz w:val="20"/>
              </w:rPr>
              <w:t>13.85</w:t>
            </w:r>
          </w:p>
        </w:tc>
        <w:tc>
          <w:tcPr>
            <w:tcW w:type="dxa" w:w="1392"/>
            <w:vAlign w:val="center"/>
          </w:tcPr>
          <w:p>
            <w:pPr>
              <w:jc w:val="center"/>
            </w:pPr>
            <w:r/>
            <w:r>
              <w:rPr>
                <w:sz w:val="20"/>
              </w:rPr>
              <w:t>0.589</w:t>
            </w:r>
          </w:p>
        </w:tc>
        <w:tc>
          <w:tcPr>
            <w:tcW w:type="dxa" w:w="1392"/>
            <w:vAlign w:val="center"/>
          </w:tcPr>
          <w:p>
            <w:pPr>
              <w:jc w:val="center"/>
            </w:pPr>
            <w:r/>
            <w:r>
              <w:rPr>
                <w:sz w:val="20"/>
              </w:rPr>
              <w:t>11.05</w:t>
            </w:r>
          </w:p>
        </w:tc>
        <w:tc>
          <w:tcPr>
            <w:tcW w:type="dxa" w:w="1392"/>
            <w:vAlign w:val="center"/>
          </w:tcPr>
          <w:p>
            <w:pPr>
              <w:jc w:val="center"/>
            </w:pPr>
            <w:r/>
            <w:r>
              <w:rPr>
                <w:sz w:val="20"/>
              </w:rPr>
              <w:t>8.8</w:t>
            </w:r>
          </w:p>
        </w:tc>
        <w:tc>
          <w:tcPr>
            <w:tcW w:type="dxa" w:w="1392"/>
            <w:vAlign w:val="center"/>
          </w:tcPr>
          <w:p>
            <w:pPr>
              <w:jc w:val="center"/>
            </w:pPr>
            <w:r/>
            <w:r>
              <w:rPr>
                <w:sz w:val="20"/>
              </w:rPr>
              <w:t>0.437</w:t>
            </w:r>
          </w:p>
        </w:tc>
        <w:tc>
          <w:tcPr>
            <w:tcW w:type="dxa" w:w="1392"/>
            <w:vAlign w:val="center"/>
          </w:tcPr>
          <w:p>
            <w:pPr>
              <w:jc w:val="center"/>
            </w:pPr>
            <w:r/>
            <w:r>
              <w:rPr>
                <w:sz w:val="20"/>
              </w:rPr>
              <w:t>3.63</w:t>
            </w:r>
          </w:p>
        </w:tc>
      </w:tr>
      <w:tr>
        <w:tc>
          <w:tcPr>
            <w:tcW w:type="dxa" w:w="1392"/>
            <w:vAlign w:val="center"/>
          </w:tcPr>
          <w:p>
            <w:pPr>
              <w:jc w:val="left"/>
            </w:pPr>
            <w:r/>
            <w:r>
              <w:rPr>
                <w:b/>
                <w:sz w:val="20"/>
              </w:rPr>
              <w:t>10</w:t>
            </w:r>
          </w:p>
        </w:tc>
        <w:tc>
          <w:tcPr>
            <w:tcW w:type="dxa" w:w="1392"/>
            <w:vAlign w:val="center"/>
          </w:tcPr>
          <w:p>
            <w:pPr>
              <w:jc w:val="center"/>
            </w:pPr>
            <w:r/>
            <w:r>
              <w:rPr>
                <w:sz w:val="20"/>
              </w:rPr>
              <w:t>13.85</w:t>
            </w:r>
          </w:p>
        </w:tc>
        <w:tc>
          <w:tcPr>
            <w:tcW w:type="dxa" w:w="1392"/>
            <w:vAlign w:val="center"/>
          </w:tcPr>
          <w:p>
            <w:pPr>
              <w:jc w:val="center"/>
            </w:pPr>
            <w:r/>
            <w:r>
              <w:rPr>
                <w:sz w:val="20"/>
              </w:rPr>
              <w:t>0.488</w:t>
            </w:r>
          </w:p>
        </w:tc>
        <w:tc>
          <w:tcPr>
            <w:tcW w:type="dxa" w:w="1392"/>
            <w:vAlign w:val="center"/>
          </w:tcPr>
          <w:p>
            <w:pPr>
              <w:jc w:val="center"/>
            </w:pPr>
            <w:r/>
            <w:r>
              <w:rPr>
                <w:sz w:val="20"/>
              </w:rPr>
              <w:t>9.09</w:t>
            </w:r>
          </w:p>
        </w:tc>
        <w:tc>
          <w:tcPr>
            <w:tcW w:type="dxa" w:w="1392"/>
            <w:vAlign w:val="center"/>
          </w:tcPr>
          <w:p>
            <w:pPr>
              <w:jc w:val="center"/>
            </w:pPr>
            <w:r/>
            <w:r>
              <w:rPr>
                <w:sz w:val="20"/>
              </w:rPr>
              <w:t>15.9</w:t>
            </w:r>
          </w:p>
        </w:tc>
        <w:tc>
          <w:tcPr>
            <w:tcW w:type="dxa" w:w="1392"/>
            <w:vAlign w:val="center"/>
          </w:tcPr>
          <w:p>
            <w:pPr>
              <w:jc w:val="center"/>
            </w:pPr>
            <w:r/>
            <w:r>
              <w:rPr>
                <w:sz w:val="20"/>
              </w:rPr>
              <w:t>0.627</w:t>
            </w:r>
          </w:p>
        </w:tc>
        <w:tc>
          <w:tcPr>
            <w:tcW w:type="dxa" w:w="1392"/>
            <w:vAlign w:val="center"/>
          </w:tcPr>
          <w:p>
            <w:pPr>
              <w:jc w:val="center"/>
            </w:pPr>
            <w:r/>
            <w:r>
              <w:rPr>
                <w:sz w:val="20"/>
              </w:rPr>
              <w:t>3.63</w:t>
            </w:r>
          </w:p>
        </w:tc>
      </w:tr>
    </w:tbl>
    <w:p>
      <w:pPr>
        <w:spacing w:after="80"/>
      </w:pPr>
      <w:r>
        <w:rPr>
          <w:b w:val="0"/>
          <w:i w:val="0"/>
          <w:sz w:val="22"/>
        </w:rPr>
        <w:t>Doubling collector area from 5 to 10 m² at Kathmandu reduces SEC from 0.589 to 0.488 kWh/kg, a 17 % improvement. Q_solar delivered rises from 8.8 to 15.9 kWh (+80 %) but the SEC improvement is much less than proportional because drying time is fixed by the kinetics at the same chamber conditions. Extra area primarily shifts energy from the compressor to the collector and raises the solar fraction from 0.44 to 0.63; beyond 10 m², further increases would hit diminishing returns unless paired with storage or a recirculation strategy that keeps useful load on the collector during off-peak periods (a point revisited in the thermal-storage discussion in Section 8).</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