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and Discussion</w:t>
      </w:r>
    </w:p>
    <w:p>
      <w:r>
        <w:t>This chapter reports the simulation results for ten SAHPD configurations across three Nepalese sites (Kathmandu, Biratnagar, Taplejung) under annual-TMY and three drying-season windows. Each section builds on the previous: Config A establishes the heat-pump-only baseline; Config B adds a solar collector in series; Config C explores two solar cascade topologies; Config D adds a heat-recovery exchanger; Section 5 introduces the VPD-based bypass control used across configurations; Config E combines HRX and solar; Section 7 synthesises across configurations; Section 8 states limitations. All tables draw live from outputs/master_summary.csv. Operating parameters: T_set = 45 deg C, m_p_dry = 3.0 kg, X0 = 6.5, X_f = 0.10 db, v = 1.1 m/s, m_da = 0.098 kg/s.</w:t>
      </w:r>
    </w:p>
    <w:p>
      <w:pPr>
        <w:pStyle w:val="Heading1"/>
      </w:pPr>
      <w:r>
        <w:t>Section 1  Config A: Heat-Pump-Only Baseline</w:t>
      </w:r>
    </w:p>
    <w:p>
      <w:r>
        <w:t>Config A is the reference case. A single-stage vapour-compression heat pump (R134a, eta_is = 0.75) heats ambient air to T_set = 45 deg C and dries 3.0 kg of apple slices (X0 = 6.5, X_f = 0.10 db) across ten trays. Every later configuration adds free-energy components on top of this baseline.</w:t>
      </w:r>
    </w:p>
    <w:p>
      <w:pPr>
        <w:pStyle w:val="Heading2"/>
      </w:pPr>
      <w:r>
        <w:t>1.1  Air paths</w:t>
      </w:r>
    </w:p>
    <w:p>
      <w:pPr>
        <w:pStyle w:val="ListBullet"/>
      </w:pPr>
      <w:r>
        <w:t>Open-loop (r = 0).</w:t>
      </w:r>
    </w:p>
    <w:p>
      <w:pPr>
        <w:pStyle w:val="ListBullet"/>
      </w:pPr>
      <w:r>
        <w:t>Ambient -&gt; Condenser -&gt; Chamber -&gt; Exhaust. Evaporator draws heat from a separate ambient stream; T_evap ~ T_amb - 10 K.</w:t>
      </w:r>
    </w:p>
    <w:p>
      <w:pPr>
        <w:pStyle w:val="ListBullet"/>
      </w:pPr>
      <w:r>
        <w:t>Closed-loop (r &gt; 0).</w:t>
      </w:r>
    </w:p>
    <w:p>
      <w:pPr>
        <w:pStyle w:val="ListBullet"/>
      </w:pPr>
      <w:r>
        <w:t>Fraction r of exhaust mixes with fresh ambient, is dehumidified at the evaporator (fixed T_evap = 5 deg C), then reheated at the condenser. First law enforced: Q_cond = Q_evap + W_comp.</w:t>
      </w:r>
    </w:p>
    <w:p>
      <w:pPr>
        <w:pStyle w:val="Heading2"/>
      </w:pPr>
      <w:r>
        <w:t>1.2  Open-loop baseline (r = 0)</w:t>
      </w:r>
    </w:p>
    <w:p>
      <w:r>
        <w:t>Table 1.1  Config A annual-TMY performance, r = 0.</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Site</w:t>
            </w:r>
          </w:p>
        </w:tc>
        <w:tc>
          <w:tcPr>
            <w:tcW w:type="dxa" w:w="1662"/>
          </w:tcPr>
          <w:p>
            <w:r>
              <w:rPr>
                <w:b/>
                <w:sz w:val="20"/>
              </w:rPr>
              <w:t>Time (h)</w:t>
            </w:r>
          </w:p>
        </w:tc>
        <w:tc>
          <w:tcPr>
            <w:tcW w:type="dxa" w:w="1662"/>
          </w:tcPr>
          <w:p>
            <w:r>
              <w:rPr>
                <w:b/>
                <w:sz w:val="20"/>
              </w:rPr>
              <w:t>SEC (kWh/kg)</w:t>
            </w:r>
          </w:p>
        </w:tc>
        <w:tc>
          <w:tcPr>
            <w:tcW w:type="dxa" w:w="1662"/>
          </w:tcPr>
          <w:p>
            <w:r>
              <w:rPr>
                <w:b/>
                <w:sz w:val="20"/>
              </w:rPr>
              <w:t>SMER (kg/kWh)</w:t>
            </w:r>
          </w:p>
        </w:tc>
        <w:tc>
          <w:tcPr>
            <w:tcW w:type="dxa" w:w="1662"/>
          </w:tcPr>
          <w:p>
            <w:r>
              <w:rPr>
                <w:b/>
                <w:sz w:val="20"/>
              </w:rPr>
              <w:t>W_comp (kWh)</w:t>
            </w:r>
          </w:p>
        </w:tc>
        <w:tc>
          <w:tcPr>
            <w:tcW w:type="dxa" w:w="1662"/>
          </w:tcPr>
          <w:p>
            <w:r>
              <w:rPr>
                <w:b/>
                <w:sz w:val="20"/>
              </w:rPr>
              <w:t>COP_mean</w:t>
            </w:r>
          </w:p>
        </w:tc>
      </w:tr>
      <w:tr>
        <w:tc>
          <w:tcPr>
            <w:tcW w:type="dxa" w:w="1662"/>
            <w:vAlign w:val="center"/>
          </w:tcPr>
          <w:p>
            <w:r>
              <w:rPr>
                <w:sz w:val="19"/>
              </w:rPr>
              <w:t>Kathmandu</w:t>
            </w:r>
          </w:p>
        </w:tc>
        <w:tc>
          <w:tcPr>
            <w:tcW w:type="dxa" w:w="1662"/>
            <w:vAlign w:val="center"/>
          </w:tcPr>
          <w:p>
            <w:r>
              <w:rPr>
                <w:sz w:val="19"/>
              </w:rPr>
              <w:t>13.85</w:t>
            </w:r>
          </w:p>
        </w:tc>
        <w:tc>
          <w:tcPr>
            <w:tcW w:type="dxa" w:w="1662"/>
            <w:vAlign w:val="center"/>
          </w:tcPr>
          <w:p>
            <w:r>
              <w:rPr>
                <w:sz w:val="19"/>
              </w:rPr>
              <w:t>0.717</w:t>
            </w:r>
          </w:p>
        </w:tc>
        <w:tc>
          <w:tcPr>
            <w:tcW w:type="dxa" w:w="1662"/>
            <w:vAlign w:val="center"/>
          </w:tcPr>
          <w:p>
            <w:r>
              <w:rPr>
                <w:sz w:val="19"/>
              </w:rPr>
              <w:t>1.396</w:t>
            </w:r>
          </w:p>
        </w:tc>
        <w:tc>
          <w:tcPr>
            <w:tcW w:type="dxa" w:w="1662"/>
            <w:vAlign w:val="center"/>
          </w:tcPr>
          <w:p>
            <w:r>
              <w:rPr>
                <w:sz w:val="19"/>
              </w:rPr>
              <w:t>13.52</w:t>
            </w:r>
          </w:p>
        </w:tc>
        <w:tc>
          <w:tcPr>
            <w:tcW w:type="dxa" w:w="1662"/>
            <w:vAlign w:val="center"/>
          </w:tcPr>
          <w:p>
            <w:r>
              <w:rPr>
                <w:sz w:val="19"/>
              </w:rPr>
              <w:t>3.63</w:t>
            </w:r>
          </w:p>
        </w:tc>
      </w:tr>
      <w:tr>
        <w:tc>
          <w:tcPr>
            <w:tcW w:type="dxa" w:w="1662"/>
            <w:vAlign w:val="center"/>
          </w:tcPr>
          <w:p>
            <w:r>
              <w:rPr>
                <w:sz w:val="19"/>
              </w:rPr>
              <w:t>Biratnagar</w:t>
            </w:r>
          </w:p>
        </w:tc>
        <w:tc>
          <w:tcPr>
            <w:tcW w:type="dxa" w:w="1662"/>
            <w:vAlign w:val="center"/>
          </w:tcPr>
          <w:p>
            <w:r>
              <w:rPr>
                <w:sz w:val="19"/>
              </w:rPr>
              <w:t>14.45</w:t>
            </w:r>
          </w:p>
        </w:tc>
        <w:tc>
          <w:tcPr>
            <w:tcW w:type="dxa" w:w="1662"/>
            <w:vAlign w:val="center"/>
          </w:tcPr>
          <w:p>
            <w:r>
              <w:rPr>
                <w:sz w:val="19"/>
              </w:rPr>
              <w:t>0.543</w:t>
            </w:r>
          </w:p>
        </w:tc>
        <w:tc>
          <w:tcPr>
            <w:tcW w:type="dxa" w:w="1662"/>
            <w:vAlign w:val="center"/>
          </w:tcPr>
          <w:p>
            <w:r>
              <w:rPr>
                <w:sz w:val="19"/>
              </w:rPr>
              <w:t>1.843</w:t>
            </w:r>
          </w:p>
        </w:tc>
        <w:tc>
          <w:tcPr>
            <w:tcW w:type="dxa" w:w="1662"/>
            <w:vAlign w:val="center"/>
          </w:tcPr>
          <w:p>
            <w:r>
              <w:rPr>
                <w:sz w:val="19"/>
              </w:rPr>
              <w:t>10.13</w:t>
            </w:r>
          </w:p>
        </w:tc>
        <w:tc>
          <w:tcPr>
            <w:tcW w:type="dxa" w:w="1662"/>
            <w:vAlign w:val="center"/>
          </w:tcPr>
          <w:p>
            <w:r>
              <w:rPr>
                <w:sz w:val="19"/>
              </w:rPr>
              <w:t>4.43</w:t>
            </w:r>
          </w:p>
        </w:tc>
      </w:tr>
      <w:tr>
        <w:tc>
          <w:tcPr>
            <w:tcW w:type="dxa" w:w="1662"/>
            <w:vAlign w:val="center"/>
          </w:tcPr>
          <w:p>
            <w:r>
              <w:rPr>
                <w:sz w:val="19"/>
              </w:rPr>
              <w:t>Taplejung</w:t>
            </w:r>
          </w:p>
        </w:tc>
        <w:tc>
          <w:tcPr>
            <w:tcW w:type="dxa" w:w="1662"/>
            <w:vAlign w:val="center"/>
          </w:tcPr>
          <w:p>
            <w:r>
              <w:rPr>
                <w:sz w:val="19"/>
              </w:rPr>
              <w:t>13.97</w:t>
            </w:r>
          </w:p>
        </w:tc>
        <w:tc>
          <w:tcPr>
            <w:tcW w:type="dxa" w:w="1662"/>
            <w:vAlign w:val="center"/>
          </w:tcPr>
          <w:p>
            <w:r>
              <w:rPr>
                <w:sz w:val="19"/>
              </w:rPr>
              <w:t>0.566</w:t>
            </w:r>
          </w:p>
        </w:tc>
        <w:tc>
          <w:tcPr>
            <w:tcW w:type="dxa" w:w="1662"/>
            <w:vAlign w:val="center"/>
          </w:tcPr>
          <w:p>
            <w:r>
              <w:rPr>
                <w:sz w:val="19"/>
              </w:rPr>
              <w:t>1.766</w:t>
            </w:r>
          </w:p>
        </w:tc>
        <w:tc>
          <w:tcPr>
            <w:tcW w:type="dxa" w:w="1662"/>
            <w:vAlign w:val="center"/>
          </w:tcPr>
          <w:p>
            <w:r>
              <w:rPr>
                <w:sz w:val="19"/>
              </w:rPr>
              <w:t>10.61</w:t>
            </w:r>
          </w:p>
        </w:tc>
        <w:tc>
          <w:tcPr>
            <w:tcW w:type="dxa" w:w="1662"/>
            <w:vAlign w:val="center"/>
          </w:tcPr>
          <w:p>
            <w:r>
              <w:rPr>
                <w:sz w:val="19"/>
              </w:rPr>
              <w:t>3.92</w:t>
            </w:r>
          </w:p>
        </w:tc>
      </w:tr>
    </w:tbl>
    <w:p>
      <w:r>
        <w:t>Annual SEC spans 0.543 kWh/kg at Biratnagar to 0.717 at Kathmandu, a 32 % range. Biratnagar's warmer ambient (T_amb ~ 25 deg C) gives a smaller condenser-to-evaporator lift and lifts COP from 3.63 to 4.43. The lower altitude (72 m vs. 1 350 m) also raises air density and reduces time-integrated compressor load. Drying time sits in a narrow 13.9-14.5 h band because T_to_chamber is fixed at 45 deg C, so the kinetic driving force is identical across sites.</w:t>
      </w:r>
    </w:p>
    <w:p>
      <w:r>
        <w:t>Table 1.2  Config A seasonal SEC (kWh/kg), r = 0.</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w:t>
            </w:r>
          </w:p>
        </w:tc>
        <w:tc>
          <w:tcPr>
            <w:tcW w:type="dxa" w:w="2493"/>
          </w:tcPr>
          <w:p>
            <w:r>
              <w:rPr>
                <w:b/>
                <w:sz w:val="20"/>
              </w:rPr>
              <w:t>Spring</w:t>
            </w:r>
          </w:p>
        </w:tc>
        <w:tc>
          <w:tcPr>
            <w:tcW w:type="dxa" w:w="2493"/>
          </w:tcPr>
          <w:p>
            <w:r>
              <w:rPr>
                <w:b/>
                <w:sz w:val="20"/>
              </w:rPr>
              <w:t>Autumn</w:t>
            </w:r>
          </w:p>
        </w:tc>
      </w:tr>
      <w:tr>
        <w:tc>
          <w:tcPr>
            <w:tcW w:type="dxa" w:w="2493"/>
            <w:vAlign w:val="center"/>
          </w:tcPr>
          <w:p>
            <w:r>
              <w:rPr>
                <w:sz w:val="19"/>
              </w:rPr>
              <w:t>Biratnagar</w:t>
            </w:r>
          </w:p>
        </w:tc>
        <w:tc>
          <w:tcPr>
            <w:tcW w:type="dxa" w:w="2493"/>
            <w:vAlign w:val="center"/>
          </w:tcPr>
          <w:p>
            <w:r>
              <w:rPr>
                <w:sz w:val="19"/>
              </w:rPr>
              <w:t>0.427</w:t>
            </w:r>
          </w:p>
        </w:tc>
        <w:tc>
          <w:tcPr>
            <w:tcW w:type="dxa" w:w="2493"/>
            <w:vAlign w:val="center"/>
          </w:tcPr>
          <w:p>
            <w:r>
              <w:rPr>
                <w:sz w:val="19"/>
              </w:rPr>
              <w:t>0.367</w:t>
            </w:r>
          </w:p>
        </w:tc>
        <w:tc>
          <w:tcPr>
            <w:tcW w:type="dxa" w:w="2493"/>
            <w:vAlign w:val="center"/>
          </w:tcPr>
          <w:p>
            <w:r>
              <w:rPr>
                <w:sz w:val="19"/>
              </w:rPr>
              <w:t>0.435</w:t>
            </w:r>
          </w:p>
        </w:tc>
      </w:tr>
      <w:tr>
        <w:tc>
          <w:tcPr>
            <w:tcW w:type="dxa" w:w="2493"/>
            <w:vAlign w:val="center"/>
          </w:tcPr>
          <w:p>
            <w:r>
              <w:rPr>
                <w:sz w:val="19"/>
              </w:rPr>
              <w:t>Kathmandu</w:t>
            </w:r>
          </w:p>
        </w:tc>
        <w:tc>
          <w:tcPr>
            <w:tcW w:type="dxa" w:w="2493"/>
            <w:vAlign w:val="center"/>
          </w:tcPr>
          <w:p>
            <w:r>
              <w:rPr>
                <w:sz w:val="19"/>
              </w:rPr>
              <w:t>0.588</w:t>
            </w:r>
          </w:p>
        </w:tc>
        <w:tc>
          <w:tcPr>
            <w:tcW w:type="dxa" w:w="2493"/>
            <w:vAlign w:val="center"/>
          </w:tcPr>
          <w:p>
            <w:r>
              <w:rPr>
                <w:sz w:val="19"/>
              </w:rPr>
              <w:t>0.487</w:t>
            </w:r>
          </w:p>
        </w:tc>
        <w:tc>
          <w:tcPr>
            <w:tcW w:type="dxa" w:w="2493"/>
            <w:vAlign w:val="center"/>
          </w:tcPr>
          <w:p>
            <w:r>
              <w:rPr>
                <w:sz w:val="19"/>
              </w:rPr>
              <w:t>0.500</w:t>
            </w:r>
          </w:p>
        </w:tc>
      </w:tr>
      <w:tr>
        <w:tc>
          <w:tcPr>
            <w:tcW w:type="dxa" w:w="2493"/>
            <w:vAlign w:val="center"/>
          </w:tcPr>
          <w:p>
            <w:r>
              <w:rPr>
                <w:sz w:val="19"/>
              </w:rPr>
              <w:t>Taplejung</w:t>
            </w:r>
          </w:p>
        </w:tc>
        <w:tc>
          <w:tcPr>
            <w:tcW w:type="dxa" w:w="2493"/>
            <w:vAlign w:val="center"/>
          </w:tcPr>
          <w:p>
            <w:r>
              <w:rPr>
                <w:sz w:val="19"/>
              </w:rPr>
              <w:t>0.622</w:t>
            </w:r>
          </w:p>
        </w:tc>
        <w:tc>
          <w:tcPr>
            <w:tcW w:type="dxa" w:w="2493"/>
            <w:vAlign w:val="center"/>
          </w:tcPr>
          <w:p>
            <w:r>
              <w:rPr>
                <w:sz w:val="19"/>
              </w:rPr>
              <w:t>0.451</w:t>
            </w:r>
          </w:p>
        </w:tc>
        <w:tc>
          <w:tcPr>
            <w:tcW w:type="dxa" w:w="2493"/>
            <w:vAlign w:val="center"/>
          </w:tcPr>
          <w:p>
            <w:r>
              <w:rPr>
                <w:sz w:val="19"/>
              </w:rPr>
              <w:t>0.457</w:t>
            </w:r>
          </w:p>
        </w:tc>
      </w:tr>
    </w:tbl>
    <w:p>
      <w:r>
        <w:t>Seasonal SEC is 15-30 % below the annual-TMY value at every site. The annual TMY averages in monsoon months (high RH, alpha_RH suppression) which are absent from the three drying seasons (autumn, winter, spring) used here. These seasons match the post-harvest window for apple in Nepal.</w:t>
      </w:r>
    </w:p>
    <w:p>
      <w:pPr>
        <w:pStyle w:val="Heading2"/>
      </w:pPr>
      <w:r>
        <w:t>1.3  Recirculation sweep</w:t>
      </w:r>
    </w:p>
    <w:p>
      <w:r>
        <w:t>Table 1.3  Config A annual-TMY SEC (kWh/kg) vs. recirculation fraction r.</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r = 0.0</w:t>
            </w:r>
          </w:p>
        </w:tc>
        <w:tc>
          <w:tcPr>
            <w:tcW w:type="dxa" w:w="1425"/>
          </w:tcPr>
          <w:p>
            <w:r>
              <w:rPr>
                <w:b/>
                <w:sz w:val="20"/>
              </w:rPr>
              <w:t>r = 0.3</w:t>
            </w:r>
          </w:p>
        </w:tc>
        <w:tc>
          <w:tcPr>
            <w:tcW w:type="dxa" w:w="1425"/>
          </w:tcPr>
          <w:p>
            <w:r>
              <w:rPr>
                <w:b/>
                <w:sz w:val="20"/>
              </w:rPr>
              <w:t>r = 0.5</w:t>
            </w:r>
          </w:p>
        </w:tc>
        <w:tc>
          <w:tcPr>
            <w:tcW w:type="dxa" w:w="1425"/>
          </w:tcPr>
          <w:p>
            <w:r>
              <w:rPr>
                <w:b/>
                <w:sz w:val="20"/>
              </w:rPr>
              <w:t>r = 0.7</w:t>
            </w:r>
          </w:p>
        </w:tc>
        <w:tc>
          <w:tcPr>
            <w:tcW w:type="dxa" w:w="1425"/>
          </w:tcPr>
          <w:p>
            <w:r>
              <w:rPr>
                <w:b/>
                <w:sz w:val="20"/>
              </w:rPr>
              <w:t>r = 0.9</w:t>
            </w:r>
          </w:p>
        </w:tc>
        <w:tc>
          <w:tcPr>
            <w:tcW w:type="dxa" w:w="1425"/>
          </w:tcPr>
          <w:p>
            <w:r>
              <w:rPr>
                <w:b/>
                <w:sz w:val="20"/>
              </w:rPr>
              <w:t>r = 1.0</w:t>
            </w:r>
          </w:p>
        </w:tc>
      </w:tr>
      <w:tr>
        <w:tc>
          <w:tcPr>
            <w:tcW w:type="dxa" w:w="1425"/>
            <w:vAlign w:val="center"/>
          </w:tcPr>
          <w:p>
            <w:r>
              <w:rPr>
                <w:sz w:val="19"/>
              </w:rPr>
              <w:t>Biratnagar</w:t>
            </w:r>
          </w:p>
        </w:tc>
        <w:tc>
          <w:tcPr>
            <w:tcW w:type="dxa" w:w="1425"/>
            <w:vAlign w:val="center"/>
          </w:tcPr>
          <w:p>
            <w:r>
              <w:rPr>
                <w:sz w:val="19"/>
              </w:rPr>
              <w:t>0.543</w:t>
            </w:r>
          </w:p>
        </w:tc>
        <w:tc>
          <w:tcPr>
            <w:tcW w:type="dxa" w:w="1425"/>
            <w:vAlign w:val="center"/>
          </w:tcPr>
          <w:p>
            <w:r>
              <w:rPr>
                <w:sz w:val="19"/>
              </w:rPr>
              <w:t>1.647</w:t>
            </w:r>
          </w:p>
        </w:tc>
        <w:tc>
          <w:tcPr>
            <w:tcW w:type="dxa" w:w="1425"/>
            <w:vAlign w:val="center"/>
          </w:tcPr>
          <w:p>
            <w:r>
              <w:rPr>
                <w:sz w:val="19"/>
              </w:rPr>
              <w:t>0.995</w:t>
            </w:r>
          </w:p>
        </w:tc>
        <w:tc>
          <w:tcPr>
            <w:tcW w:type="dxa" w:w="1425"/>
            <w:vAlign w:val="center"/>
          </w:tcPr>
          <w:p>
            <w:r>
              <w:rPr>
                <w:sz w:val="19"/>
              </w:rPr>
              <w:t>0.765</w:t>
            </w:r>
          </w:p>
        </w:tc>
        <w:tc>
          <w:tcPr>
            <w:tcW w:type="dxa" w:w="1425"/>
            <w:vAlign w:val="center"/>
          </w:tcPr>
          <w:p>
            <w:r>
              <w:rPr>
                <w:sz w:val="19"/>
              </w:rPr>
              <w:t>0.753</w:t>
            </w:r>
          </w:p>
        </w:tc>
        <w:tc>
          <w:tcPr>
            <w:tcW w:type="dxa" w:w="1425"/>
            <w:vAlign w:val="center"/>
          </w:tcPr>
          <w:p>
            <w:r>
              <w:rPr>
                <w:sz w:val="19"/>
              </w:rPr>
              <w:t>0.752</w:t>
            </w:r>
          </w:p>
        </w:tc>
      </w:tr>
      <w:tr>
        <w:tc>
          <w:tcPr>
            <w:tcW w:type="dxa" w:w="1425"/>
            <w:vAlign w:val="center"/>
          </w:tcPr>
          <w:p>
            <w:r>
              <w:rPr>
                <w:sz w:val="19"/>
              </w:rPr>
              <w:t>Kathmandu</w:t>
            </w:r>
          </w:p>
        </w:tc>
        <w:tc>
          <w:tcPr>
            <w:tcW w:type="dxa" w:w="1425"/>
            <w:vAlign w:val="center"/>
          </w:tcPr>
          <w:p>
            <w:r>
              <w:rPr>
                <w:sz w:val="19"/>
              </w:rPr>
              <w:t>0.717</w:t>
            </w:r>
          </w:p>
        </w:tc>
        <w:tc>
          <w:tcPr>
            <w:tcW w:type="dxa" w:w="1425"/>
            <w:vAlign w:val="center"/>
          </w:tcPr>
          <w:p>
            <w:r>
              <w:rPr>
                <w:sz w:val="19"/>
              </w:rPr>
              <w:t>0.931</w:t>
            </w:r>
          </w:p>
        </w:tc>
        <w:tc>
          <w:tcPr>
            <w:tcW w:type="dxa" w:w="1425"/>
            <w:vAlign w:val="center"/>
          </w:tcPr>
          <w:p>
            <w:r>
              <w:rPr>
                <w:sz w:val="19"/>
              </w:rPr>
              <w:t>0.901</w:t>
            </w:r>
          </w:p>
        </w:tc>
        <w:tc>
          <w:tcPr>
            <w:tcW w:type="dxa" w:w="1425"/>
            <w:vAlign w:val="center"/>
          </w:tcPr>
          <w:p>
            <w:r>
              <w:rPr>
                <w:sz w:val="19"/>
              </w:rPr>
              <w:t>0.892</w:t>
            </w:r>
          </w:p>
        </w:tc>
        <w:tc>
          <w:tcPr>
            <w:tcW w:type="dxa" w:w="1425"/>
            <w:vAlign w:val="center"/>
          </w:tcPr>
          <w:p>
            <w:r>
              <w:rPr>
                <w:sz w:val="19"/>
              </w:rPr>
              <w:t>0.669</w:t>
            </w:r>
          </w:p>
        </w:tc>
        <w:tc>
          <w:tcPr>
            <w:tcW w:type="dxa" w:w="1425"/>
            <w:vAlign w:val="center"/>
          </w:tcPr>
          <w:p>
            <w:r>
              <w:rPr>
                <w:sz w:val="19"/>
              </w:rPr>
              <w:t>0.674</w:t>
            </w:r>
          </w:p>
        </w:tc>
      </w:tr>
      <w:tr>
        <w:tc>
          <w:tcPr>
            <w:tcW w:type="dxa" w:w="1425"/>
            <w:vAlign w:val="center"/>
          </w:tcPr>
          <w:p>
            <w:r>
              <w:rPr>
                <w:sz w:val="19"/>
              </w:rPr>
              <w:t>Taplejung</w:t>
            </w:r>
          </w:p>
        </w:tc>
        <w:tc>
          <w:tcPr>
            <w:tcW w:type="dxa" w:w="1425"/>
            <w:vAlign w:val="center"/>
          </w:tcPr>
          <w:p>
            <w:r>
              <w:rPr>
                <w:sz w:val="19"/>
              </w:rPr>
              <w:t>0.566</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0.646</w:t>
            </w:r>
          </w:p>
        </w:tc>
        <w:tc>
          <w:tcPr>
            <w:tcW w:type="dxa" w:w="1425"/>
            <w:vAlign w:val="center"/>
          </w:tcPr>
          <w:p>
            <w:r>
              <w:rPr>
                <w:sz w:val="19"/>
              </w:rPr>
              <w:t>0.647</w:t>
            </w:r>
          </w:p>
        </w:tc>
      </w:tr>
    </w:tbl>
    <w:p>
      <w:r>
        <w:t>At Kathmandu SEC falls from 0.717 (r = 0) to 0.669 (r = 0.9), a 6.7 % reduction. At Biratnagar SEC rises from 0.543 to 0.753 (39 % increase). Taplejung shows a 14 % increase at r = 0.9.</w:t>
      </w:r>
    </w:p>
    <w:p>
      <w:r>
        <w:t>The crossover is set by the evaporator operating point. Open-loop T_evap tracks ambient (15 deg C at Biratnagar, 5 deg C at Kathmandu). Closed-loop T_evap is fixed at 5 deg C. At warm sites the fixed setpoint forces a lower saturation temperature than ambient requires, raising the pressure ratio and compressor work. At cool sites the fixed setpoint is close to the open-loop value, and the dehumidification benefit of mixing cooler air into the condenser inlet produces a net gain. Between r = 0.9 and r = 1.0 the change is under 1 %: full closure has no fresh-air dilution, so steady-state SEC is set by the evaporator's dehumidification rate.</w:t>
      </w:r>
    </w:p>
    <w:p>
      <w:pPr>
        <w:pStyle w:val="Heading2"/>
      </w:pPr>
      <w:r>
        <w:t>1.4  Takeaways</w:t>
      </w:r>
    </w:p>
    <w:p>
      <w:pPr>
        <w:pStyle w:val="ListBullet"/>
      </w:pPr>
      <w:r>
        <w:t>Drying time is fixed by T_to_chamber and ambient humidity, not by configuration. Every configuration reaching 45 deg C chamber inlet dries in 14-15 h under annual TMY. Differences between configurations appear in SEC and SMER.</w:t>
      </w:r>
    </w:p>
    <w:p>
      <w:pPr>
        <w:pStyle w:val="ListBullet"/>
      </w:pPr>
      <w:r>
        <w:t>SEC is site-driven. Biratnagar 0.543, Taplejung 0.566, Kathmandu 0.717. Any configuration's SEC must be read against its site.</w:t>
      </w:r>
    </w:p>
    <w:p>
      <w:pPr>
        <w:pStyle w:val="ListBullet"/>
      </w:pPr>
      <w:r>
        <w:t>Open-loop is the strongest baseline at warm sites. Closed-loop recirculation only reduces SEC when ambient is cold enough for the fixed T_evap = 5 deg C to sit at or below the open-loop evaporator setpoint.</w:t>
      </w:r>
    </w:p>
    <w:p>
      <w:pPr>
        <w:pStyle w:val="Heading1"/>
      </w:pPr>
      <w:r>
        <w:t>Section 2  Config B: Solar + Heat Pump in Series</w:t>
      </w:r>
    </w:p>
    <w:p>
      <w:r>
        <w:t>Config B places a flat-plate solar air collector in series upstream of the condenser. Open-loop path: Ambient -&gt; Collector -&gt; Condenser -&gt; Chamber. The heat pump provides only the residual temperature lift that the collector cannot. Collector model: Hottel-Whillier-Bliss, F_R(tau-alpha) = 0.68, F_R U_L = 4.2 W/m^2/K.</w:t>
      </w:r>
    </w:p>
    <w:p>
      <w:pPr>
        <w:pStyle w:val="Heading2"/>
      </w:pPr>
      <w:r>
        <w:t>2.1  Open-loop baseline, r = 0, A_c = 10 m^2</w:t>
      </w:r>
    </w:p>
    <w:p>
      <w:r>
        <w:t>Table 2.1  Config B vs. Config A, annual TMY.</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SEC_A</w:t>
            </w:r>
          </w:p>
        </w:tc>
        <w:tc>
          <w:tcPr>
            <w:tcW w:type="dxa" w:w="1425"/>
          </w:tcPr>
          <w:p>
            <w:r>
              <w:rPr>
                <w:b/>
                <w:sz w:val="20"/>
              </w:rPr>
              <w:t>SEC_B</w:t>
            </w:r>
          </w:p>
        </w:tc>
        <w:tc>
          <w:tcPr>
            <w:tcW w:type="dxa" w:w="1425"/>
          </w:tcPr>
          <w:p>
            <w:r>
              <w:rPr>
                <w:b/>
                <w:sz w:val="20"/>
              </w:rPr>
              <w:t>Reduction</w:t>
            </w:r>
          </w:p>
        </w:tc>
        <w:tc>
          <w:tcPr>
            <w:tcW w:type="dxa" w:w="1425"/>
          </w:tcPr>
          <w:p>
            <w:r>
              <w:rPr>
                <w:b/>
                <w:sz w:val="20"/>
              </w:rPr>
              <w:t>Solar frac</w:t>
            </w:r>
          </w:p>
        </w:tc>
        <w:tc>
          <w:tcPr>
            <w:tcW w:type="dxa" w:w="1425"/>
          </w:tcPr>
          <w:p>
            <w:r>
              <w:rPr>
                <w:b/>
                <w:sz w:val="20"/>
              </w:rPr>
              <w:t>Q_solar (kWh)</w:t>
            </w:r>
          </w:p>
        </w:tc>
        <w:tc>
          <w:tcPr>
            <w:tcW w:type="dxa" w:w="1425"/>
          </w:tcPr>
          <w:p>
            <w:r>
              <w:rPr>
                <w:b/>
                <w:sz w:val="20"/>
              </w:rPr>
              <w:t>W_comp (kWh)</w:t>
            </w:r>
          </w:p>
        </w:tc>
      </w:tr>
      <w:tr>
        <w:tc>
          <w:tcPr>
            <w:tcW w:type="dxa" w:w="1425"/>
            <w:vAlign w:val="center"/>
          </w:tcPr>
          <w:p>
            <w:r>
              <w:rPr>
                <w:sz w:val="19"/>
              </w:rPr>
              <w:t>Kathmandu</w:t>
            </w:r>
          </w:p>
        </w:tc>
        <w:tc>
          <w:tcPr>
            <w:tcW w:type="dxa" w:w="1425"/>
            <w:vAlign w:val="center"/>
          </w:tcPr>
          <w:p>
            <w:r>
              <w:rPr>
                <w:sz w:val="19"/>
              </w:rPr>
              <w:t>0.717</w:t>
            </w:r>
          </w:p>
        </w:tc>
        <w:tc>
          <w:tcPr>
            <w:tcW w:type="dxa" w:w="1425"/>
            <w:vAlign w:val="center"/>
          </w:tcPr>
          <w:p>
            <w:r>
              <w:rPr>
                <w:sz w:val="19"/>
              </w:rPr>
              <w:t>0.488</w:t>
            </w:r>
          </w:p>
        </w:tc>
        <w:tc>
          <w:tcPr>
            <w:tcW w:type="dxa" w:w="1425"/>
            <w:vAlign w:val="center"/>
          </w:tcPr>
          <w:p>
            <w:r>
              <w:rPr>
                <w:sz w:val="19"/>
              </w:rPr>
              <w:t>-32.0 %</w:t>
            </w:r>
          </w:p>
        </w:tc>
        <w:tc>
          <w:tcPr>
            <w:tcW w:type="dxa" w:w="1425"/>
            <w:vAlign w:val="center"/>
          </w:tcPr>
          <w:p>
            <w:r>
              <w:rPr>
                <w:sz w:val="19"/>
              </w:rPr>
              <w:t>0.627</w:t>
            </w:r>
          </w:p>
        </w:tc>
        <w:tc>
          <w:tcPr>
            <w:tcW w:type="dxa" w:w="1425"/>
            <w:vAlign w:val="center"/>
          </w:tcPr>
          <w:p>
            <w:r>
              <w:rPr>
                <w:sz w:val="19"/>
              </w:rPr>
              <w:t>15.87</w:t>
            </w:r>
          </w:p>
        </w:tc>
        <w:tc>
          <w:tcPr>
            <w:tcW w:type="dxa" w:w="1425"/>
            <w:vAlign w:val="center"/>
          </w:tcPr>
          <w:p>
            <w:r>
              <w:rPr>
                <w:sz w:val="19"/>
              </w:rPr>
              <w:t>9.09</w:t>
            </w:r>
          </w:p>
        </w:tc>
      </w:tr>
      <w:tr>
        <w:tc>
          <w:tcPr>
            <w:tcW w:type="dxa" w:w="1425"/>
            <w:vAlign w:val="center"/>
          </w:tcPr>
          <w:p>
            <w:r>
              <w:rPr>
                <w:sz w:val="19"/>
              </w:rPr>
              <w:t>Biratnagar</w:t>
            </w:r>
          </w:p>
        </w:tc>
        <w:tc>
          <w:tcPr>
            <w:tcW w:type="dxa" w:w="1425"/>
            <w:vAlign w:val="center"/>
          </w:tcPr>
          <w:p>
            <w:r>
              <w:rPr>
                <w:sz w:val="19"/>
              </w:rPr>
              <w:t>0.543</w:t>
            </w:r>
          </w:p>
        </w:tc>
        <w:tc>
          <w:tcPr>
            <w:tcW w:type="dxa" w:w="1425"/>
            <w:vAlign w:val="center"/>
          </w:tcPr>
          <w:p>
            <w:r>
              <w:rPr>
                <w:sz w:val="19"/>
              </w:rPr>
              <w:t>0.287</w:t>
            </w:r>
          </w:p>
        </w:tc>
        <w:tc>
          <w:tcPr>
            <w:tcW w:type="dxa" w:w="1425"/>
            <w:vAlign w:val="center"/>
          </w:tcPr>
          <w:p>
            <w:r>
              <w:rPr>
                <w:sz w:val="19"/>
              </w:rPr>
              <w:t>-47.1 %</w:t>
            </w:r>
          </w:p>
        </w:tc>
        <w:tc>
          <w:tcPr>
            <w:tcW w:type="dxa" w:w="1425"/>
            <w:vAlign w:val="center"/>
          </w:tcPr>
          <w:p>
            <w:r>
              <w:rPr>
                <w:sz w:val="19"/>
              </w:rPr>
              <w:t>0.804</w:t>
            </w:r>
          </w:p>
        </w:tc>
        <w:tc>
          <w:tcPr>
            <w:tcW w:type="dxa" w:w="1425"/>
            <w:vAlign w:val="center"/>
          </w:tcPr>
          <w:p>
            <w:r>
              <w:rPr>
                <w:sz w:val="19"/>
              </w:rPr>
              <w:t>22.76</w:t>
            </w:r>
          </w:p>
        </w:tc>
        <w:tc>
          <w:tcPr>
            <w:tcW w:type="dxa" w:w="1425"/>
            <w:vAlign w:val="center"/>
          </w:tcPr>
          <w:p>
            <w:r>
              <w:rPr>
                <w:sz w:val="19"/>
              </w:rPr>
              <w:t>5.18</w:t>
            </w:r>
          </w:p>
        </w:tc>
      </w:tr>
      <w:tr>
        <w:tc>
          <w:tcPr>
            <w:tcW w:type="dxa" w:w="1425"/>
            <w:vAlign w:val="center"/>
          </w:tcPr>
          <w:p>
            <w:r>
              <w:rPr>
                <w:sz w:val="19"/>
              </w:rPr>
              <w:t>Taplejung</w:t>
            </w:r>
          </w:p>
        </w:tc>
        <w:tc>
          <w:tcPr>
            <w:tcW w:type="dxa" w:w="1425"/>
            <w:vAlign w:val="center"/>
          </w:tcPr>
          <w:p>
            <w:r>
              <w:rPr>
                <w:sz w:val="19"/>
              </w:rPr>
              <w:t>0.566</w:t>
            </w:r>
          </w:p>
        </w:tc>
        <w:tc>
          <w:tcPr>
            <w:tcW w:type="dxa" w:w="1425"/>
            <w:vAlign w:val="center"/>
          </w:tcPr>
          <w:p>
            <w:r>
              <w:rPr>
                <w:sz w:val="19"/>
              </w:rPr>
              <w:t>0.344</w:t>
            </w:r>
          </w:p>
        </w:tc>
        <w:tc>
          <w:tcPr>
            <w:tcW w:type="dxa" w:w="1425"/>
            <w:vAlign w:val="center"/>
          </w:tcPr>
          <w:p>
            <w:r>
              <w:rPr>
                <w:sz w:val="19"/>
              </w:rPr>
              <w:t>-39.2 %</w:t>
            </w:r>
          </w:p>
        </w:tc>
        <w:tc>
          <w:tcPr>
            <w:tcW w:type="dxa" w:w="1425"/>
            <w:vAlign w:val="center"/>
          </w:tcPr>
          <w:p>
            <w:r>
              <w:rPr>
                <w:sz w:val="19"/>
              </w:rPr>
              <w:t>0.716</w:t>
            </w:r>
          </w:p>
        </w:tc>
        <w:tc>
          <w:tcPr>
            <w:tcW w:type="dxa" w:w="1425"/>
            <w:vAlign w:val="center"/>
          </w:tcPr>
          <w:p>
            <w:r>
              <w:rPr>
                <w:sz w:val="19"/>
              </w:rPr>
              <w:t>16.82</w:t>
            </w:r>
          </w:p>
        </w:tc>
        <w:tc>
          <w:tcPr>
            <w:tcW w:type="dxa" w:w="1425"/>
            <w:vAlign w:val="center"/>
          </w:tcPr>
          <w:p>
            <w:r>
              <w:rPr>
                <w:sz w:val="19"/>
              </w:rPr>
              <w:t>6.32</w:t>
            </w:r>
          </w:p>
        </w:tc>
      </w:tr>
    </w:tbl>
    <w:p>
      <w:r>
        <w:t>The collector offsets 63-80 % of the condenser duty. SEC reduction is largest at Biratnagar (47.2 %) where the solar resource and warm ambient compound. Kathmandu 32.0 %, Taplejung 39.2 %.</w:t>
      </w:r>
    </w:p>
    <w:p>
      <w:pPr>
        <w:pStyle w:val="Heading2"/>
      </w:pPr>
      <w:r>
        <w:t>2.2  Seasonal performance</w:t>
      </w:r>
    </w:p>
    <w:p>
      <w:r>
        <w:t>Table 2.2  Config B seasonal SEC kWh/kg (solar fraction), r = 0, A_c = 10 m^2.</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w:t>
            </w:r>
          </w:p>
        </w:tc>
        <w:tc>
          <w:tcPr>
            <w:tcW w:type="dxa" w:w="2493"/>
          </w:tcPr>
          <w:p>
            <w:r>
              <w:rPr>
                <w:b/>
                <w:sz w:val="20"/>
              </w:rPr>
              <w:t>Spring</w:t>
            </w:r>
          </w:p>
        </w:tc>
        <w:tc>
          <w:tcPr>
            <w:tcW w:type="dxa" w:w="2493"/>
          </w:tcPr>
          <w:p>
            <w:r>
              <w:rPr>
                <w:b/>
                <w:sz w:val="20"/>
              </w:rPr>
              <w:t>Autumn</w:t>
            </w:r>
          </w:p>
        </w:tc>
      </w:tr>
      <w:tr>
        <w:tc>
          <w:tcPr>
            <w:tcW w:type="dxa" w:w="2493"/>
            <w:vAlign w:val="center"/>
          </w:tcPr>
          <w:p>
            <w:r>
              <w:rPr>
                <w:sz w:val="19"/>
              </w:rPr>
              <w:t>Biratnagar</w:t>
            </w:r>
          </w:p>
        </w:tc>
        <w:tc>
          <w:tcPr>
            <w:tcW w:type="dxa" w:w="2493"/>
            <w:vAlign w:val="center"/>
          </w:tcPr>
          <w:p>
            <w:r>
              <w:rPr>
                <w:sz w:val="19"/>
              </w:rPr>
              <w:t>0.240 (0.81)</w:t>
            </w:r>
          </w:p>
        </w:tc>
        <w:tc>
          <w:tcPr>
            <w:tcW w:type="dxa" w:w="2493"/>
            <w:vAlign w:val="center"/>
          </w:tcPr>
          <w:p>
            <w:r>
              <w:rPr>
                <w:sz w:val="19"/>
              </w:rPr>
              <w:t>0.128 (0.93)</w:t>
            </w:r>
          </w:p>
        </w:tc>
        <w:tc>
          <w:tcPr>
            <w:tcW w:type="dxa" w:w="2493"/>
            <w:vAlign w:val="center"/>
          </w:tcPr>
          <w:p>
            <w:r>
              <w:rPr>
                <w:sz w:val="19"/>
              </w:rPr>
              <w:t>0.267 (0.82)</w:t>
            </w:r>
          </w:p>
        </w:tc>
      </w:tr>
      <w:tr>
        <w:tc>
          <w:tcPr>
            <w:tcW w:type="dxa" w:w="2493"/>
            <w:vAlign w:val="center"/>
          </w:tcPr>
          <w:p>
            <w:r>
              <w:rPr>
                <w:sz w:val="19"/>
              </w:rPr>
              <w:t>Kathmandu</w:t>
            </w:r>
          </w:p>
        </w:tc>
        <w:tc>
          <w:tcPr>
            <w:tcW w:type="dxa" w:w="2493"/>
            <w:vAlign w:val="center"/>
          </w:tcPr>
          <w:p>
            <w:r>
              <w:rPr>
                <w:sz w:val="19"/>
              </w:rPr>
              <w:t>0.295 (0.80)</w:t>
            </w:r>
          </w:p>
        </w:tc>
        <w:tc>
          <w:tcPr>
            <w:tcW w:type="dxa" w:w="2493"/>
            <w:vAlign w:val="center"/>
          </w:tcPr>
          <w:p>
            <w:r>
              <w:rPr>
                <w:sz w:val="19"/>
              </w:rPr>
              <w:t>0.182 (0.90)</w:t>
            </w:r>
          </w:p>
        </w:tc>
        <w:tc>
          <w:tcPr>
            <w:tcW w:type="dxa" w:w="2493"/>
            <w:vAlign w:val="center"/>
          </w:tcPr>
          <w:p>
            <w:r>
              <w:rPr>
                <w:sz w:val="19"/>
              </w:rPr>
              <w:t>0.289 (0.81)</w:t>
            </w:r>
          </w:p>
        </w:tc>
      </w:tr>
      <w:tr>
        <w:tc>
          <w:tcPr>
            <w:tcW w:type="dxa" w:w="2493"/>
            <w:vAlign w:val="center"/>
          </w:tcPr>
          <w:p>
            <w:r>
              <w:rPr>
                <w:sz w:val="19"/>
              </w:rPr>
              <w:t>Taplejung</w:t>
            </w:r>
          </w:p>
        </w:tc>
        <w:tc>
          <w:tcPr>
            <w:tcW w:type="dxa" w:w="2493"/>
            <w:vAlign w:val="center"/>
          </w:tcPr>
          <w:p>
            <w:r>
              <w:rPr>
                <w:sz w:val="19"/>
              </w:rPr>
              <w:t>0.379 (0.72)</w:t>
            </w:r>
          </w:p>
        </w:tc>
        <w:tc>
          <w:tcPr>
            <w:tcW w:type="dxa" w:w="2493"/>
            <w:vAlign w:val="center"/>
          </w:tcPr>
          <w:p>
            <w:r>
              <w:rPr>
                <w:sz w:val="19"/>
              </w:rPr>
              <w:t>0.212 (0.88)</w:t>
            </w:r>
          </w:p>
        </w:tc>
        <w:tc>
          <w:tcPr>
            <w:tcW w:type="dxa" w:w="2493"/>
            <w:vAlign w:val="center"/>
          </w:tcPr>
          <w:p>
            <w:r>
              <w:rPr>
                <w:sz w:val="19"/>
              </w:rPr>
              <w:t>0.243 (0.86)</w:t>
            </w:r>
          </w:p>
        </w:tc>
      </w:tr>
    </w:tbl>
    <w:p>
      <w:r>
        <w:t>Spring gives the lowest SEC at every site (0.128 Biratnagar, 0.182 Kathmandu, 0.212 Taplejung) with solar fractions 0.88-0.93.</w:t>
      </w:r>
    </w:p>
    <w:p>
      <w:pPr>
        <w:pStyle w:val="Heading2"/>
      </w:pPr>
      <w:r>
        <w:t>2.3  Collector area (Kathmandu, annual)</w:t>
      </w:r>
    </w:p>
    <w:p>
      <w:r>
        <w:t>Table 2.3  Config B Kathmandu SEC vs. collector area.</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tcPr>
          <w:p>
            <w:r>
              <w:rPr>
                <w:b/>
                <w:sz w:val="20"/>
              </w:rPr>
              <w:t>A_c (m^2)</w:t>
            </w:r>
          </w:p>
        </w:tc>
        <w:tc>
          <w:tcPr>
            <w:tcW w:type="dxa" w:w="3324"/>
          </w:tcPr>
          <w:p>
            <w:r>
              <w:rPr>
                <w:b/>
                <w:sz w:val="20"/>
              </w:rPr>
              <w:t>SEC (kWh/kg)</w:t>
            </w:r>
          </w:p>
        </w:tc>
        <w:tc>
          <w:tcPr>
            <w:tcW w:type="dxa" w:w="3324"/>
          </w:tcPr>
          <w:p>
            <w:r>
              <w:rPr>
                <w:b/>
                <w:sz w:val="20"/>
              </w:rPr>
              <w:t>Solar frac</w:t>
            </w:r>
          </w:p>
        </w:tc>
      </w:tr>
      <w:tr>
        <w:tc>
          <w:tcPr>
            <w:tcW w:type="dxa" w:w="3324"/>
            <w:vAlign w:val="center"/>
          </w:tcPr>
          <w:p>
            <w:r>
              <w:rPr>
                <w:sz w:val="19"/>
              </w:rPr>
              <w:t>5.0</w:t>
            </w:r>
          </w:p>
        </w:tc>
        <w:tc>
          <w:tcPr>
            <w:tcW w:type="dxa" w:w="3324"/>
            <w:vAlign w:val="center"/>
          </w:tcPr>
          <w:p>
            <w:r>
              <w:rPr>
                <w:sz w:val="19"/>
              </w:rPr>
              <w:t>0.589</w:t>
            </w:r>
          </w:p>
        </w:tc>
        <w:tc>
          <w:tcPr>
            <w:tcW w:type="dxa" w:w="3324"/>
            <w:vAlign w:val="center"/>
          </w:tcPr>
          <w:p>
            <w:r>
              <w:rPr>
                <w:sz w:val="19"/>
              </w:rPr>
              <w:t>0.437</w:t>
            </w:r>
          </w:p>
        </w:tc>
      </w:tr>
      <w:tr>
        <w:tc>
          <w:tcPr>
            <w:tcW w:type="dxa" w:w="3324"/>
            <w:vAlign w:val="center"/>
          </w:tcPr>
          <w:p>
            <w:r>
              <w:rPr>
                <w:sz w:val="19"/>
              </w:rPr>
              <w:t>10.0</w:t>
            </w:r>
          </w:p>
        </w:tc>
        <w:tc>
          <w:tcPr>
            <w:tcW w:type="dxa" w:w="3324"/>
            <w:vAlign w:val="center"/>
          </w:tcPr>
          <w:p>
            <w:r>
              <w:rPr>
                <w:sz w:val="19"/>
              </w:rPr>
              <w:t>0.488</w:t>
            </w:r>
          </w:p>
        </w:tc>
        <w:tc>
          <w:tcPr>
            <w:tcW w:type="dxa" w:w="3324"/>
            <w:vAlign w:val="center"/>
          </w:tcPr>
          <w:p>
            <w:r>
              <w:rPr>
                <w:sz w:val="19"/>
              </w:rPr>
              <w:t>0.627</w:t>
            </w:r>
          </w:p>
        </w:tc>
      </w:tr>
    </w:tbl>
    <w:p>
      <w:r>
        <w:t>Doubling from 5 to 10 m^2 lifts solar fraction from 0.44 to 0.63 and drops SEC by 17.2 %. The response is sub-linear because the collector saturates once it can supply the full temperature rise on sunny hours.</w:t>
      </w:r>
    </w:p>
    <w:p>
      <w:pPr>
        <w:pStyle w:val="Heading2"/>
      </w:pPr>
      <w:r>
        <w:t>2.4  Recirculation</w:t>
      </w:r>
    </w:p>
    <w:p>
      <w:r>
        <w:t>Table 2.4  Config B annual-TMY SEC (kWh/kg) vs. r, A_c = 10 m^2.</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Site</w:t>
            </w:r>
          </w:p>
        </w:tc>
        <w:tc>
          <w:tcPr>
            <w:tcW w:type="dxa" w:w="1662"/>
          </w:tcPr>
          <w:p>
            <w:r>
              <w:rPr>
                <w:b/>
                <w:sz w:val="20"/>
              </w:rPr>
              <w:t>r = 0.0</w:t>
            </w:r>
          </w:p>
        </w:tc>
        <w:tc>
          <w:tcPr>
            <w:tcW w:type="dxa" w:w="1662"/>
          </w:tcPr>
          <w:p>
            <w:r>
              <w:rPr>
                <w:b/>
                <w:sz w:val="20"/>
              </w:rPr>
              <w:t>r = 0.3</w:t>
            </w:r>
          </w:p>
        </w:tc>
        <w:tc>
          <w:tcPr>
            <w:tcW w:type="dxa" w:w="1662"/>
          </w:tcPr>
          <w:p>
            <w:r>
              <w:rPr>
                <w:b/>
                <w:sz w:val="20"/>
              </w:rPr>
              <w:t>r = 0.5</w:t>
            </w:r>
          </w:p>
        </w:tc>
        <w:tc>
          <w:tcPr>
            <w:tcW w:type="dxa" w:w="1662"/>
          </w:tcPr>
          <w:p>
            <w:r>
              <w:rPr>
                <w:b/>
                <w:sz w:val="20"/>
              </w:rPr>
              <w:t>r = 0.7</w:t>
            </w:r>
          </w:p>
        </w:tc>
        <w:tc>
          <w:tcPr>
            <w:tcW w:type="dxa" w:w="1662"/>
          </w:tcPr>
          <w:p>
            <w:r>
              <w:rPr>
                <w:b/>
                <w:sz w:val="20"/>
              </w:rPr>
              <w:t>r = 0.9</w:t>
            </w:r>
          </w:p>
        </w:tc>
      </w:tr>
      <w:tr>
        <w:tc>
          <w:tcPr>
            <w:tcW w:type="dxa" w:w="1662"/>
            <w:vAlign w:val="center"/>
          </w:tcPr>
          <w:p>
            <w:r>
              <w:rPr>
                <w:sz w:val="19"/>
              </w:rPr>
              <w:t>Biratnagar</w:t>
            </w:r>
          </w:p>
        </w:tc>
        <w:tc>
          <w:tcPr>
            <w:tcW w:type="dxa" w:w="1662"/>
            <w:vAlign w:val="center"/>
          </w:tcPr>
          <w:p>
            <w:r>
              <w:rPr>
                <w:sz w:val="19"/>
              </w:rPr>
              <w:t>0.287</w:t>
            </w:r>
          </w:p>
        </w:tc>
        <w:tc>
          <w:tcPr>
            <w:tcW w:type="dxa" w:w="1662"/>
            <w:vAlign w:val="center"/>
          </w:tcPr>
          <w:p>
            <w:r>
              <w:rPr>
                <w:sz w:val="19"/>
              </w:rPr>
              <w:t>0.568</w:t>
            </w:r>
          </w:p>
        </w:tc>
        <w:tc>
          <w:tcPr>
            <w:tcW w:type="dxa" w:w="1662"/>
            <w:vAlign w:val="center"/>
          </w:tcPr>
          <w:p>
            <w:r>
              <w:rPr>
                <w:sz w:val="19"/>
              </w:rPr>
              <w:t>0.618</w:t>
            </w:r>
          </w:p>
        </w:tc>
        <w:tc>
          <w:tcPr>
            <w:tcW w:type="dxa" w:w="1662"/>
            <w:vAlign w:val="center"/>
          </w:tcPr>
          <w:p>
            <w:r>
              <w:rPr>
                <w:sz w:val="19"/>
              </w:rPr>
              <w:t>0.431</w:t>
            </w:r>
          </w:p>
        </w:tc>
        <w:tc>
          <w:tcPr>
            <w:tcW w:type="dxa" w:w="1662"/>
            <w:vAlign w:val="center"/>
          </w:tcPr>
          <w:p>
            <w:r>
              <w:rPr>
                <w:sz w:val="19"/>
              </w:rPr>
              <w:t>0.423</w:t>
            </w:r>
          </w:p>
        </w:tc>
      </w:tr>
      <w:tr>
        <w:tc>
          <w:tcPr>
            <w:tcW w:type="dxa" w:w="1662"/>
            <w:vAlign w:val="center"/>
          </w:tcPr>
          <w:p>
            <w:r>
              <w:rPr>
                <w:sz w:val="19"/>
              </w:rPr>
              <w:t>Kathmandu</w:t>
            </w:r>
          </w:p>
        </w:tc>
        <w:tc>
          <w:tcPr>
            <w:tcW w:type="dxa" w:w="1662"/>
            <w:vAlign w:val="center"/>
          </w:tcPr>
          <w:p>
            <w:r>
              <w:rPr>
                <w:sz w:val="19"/>
              </w:rPr>
              <w:t>0.488</w:t>
            </w:r>
          </w:p>
        </w:tc>
        <w:tc>
          <w:tcPr>
            <w:tcW w:type="dxa" w:w="1662"/>
            <w:vAlign w:val="center"/>
          </w:tcPr>
          <w:p>
            <w:r>
              <w:rPr>
                <w:sz w:val="19"/>
              </w:rPr>
              <w:t>0.392</w:t>
            </w:r>
          </w:p>
        </w:tc>
        <w:tc>
          <w:tcPr>
            <w:tcW w:type="dxa" w:w="1662"/>
            <w:vAlign w:val="center"/>
          </w:tcPr>
          <w:p>
            <w:r>
              <w:rPr>
                <w:sz w:val="19"/>
              </w:rPr>
              <w:t>0.416</w:t>
            </w:r>
          </w:p>
        </w:tc>
        <w:tc>
          <w:tcPr>
            <w:tcW w:type="dxa" w:w="1662"/>
            <w:vAlign w:val="center"/>
          </w:tcPr>
          <w:p>
            <w:r>
              <w:rPr>
                <w:sz w:val="19"/>
              </w:rPr>
              <w:t>0.460</w:t>
            </w:r>
          </w:p>
        </w:tc>
        <w:tc>
          <w:tcPr>
            <w:tcW w:type="dxa" w:w="1662"/>
            <w:vAlign w:val="center"/>
          </w:tcPr>
          <w:p>
            <w:r>
              <w:rPr>
                <w:sz w:val="19"/>
              </w:rPr>
              <w:t>0.469</w:t>
            </w:r>
          </w:p>
        </w:tc>
      </w:tr>
      <w:tr>
        <w:tc>
          <w:tcPr>
            <w:tcW w:type="dxa" w:w="1662"/>
            <w:vAlign w:val="center"/>
          </w:tcPr>
          <w:p>
            <w:r>
              <w:rPr>
                <w:sz w:val="19"/>
              </w:rPr>
              <w:t>Taplejung</w:t>
            </w:r>
          </w:p>
        </w:tc>
        <w:tc>
          <w:tcPr>
            <w:tcW w:type="dxa" w:w="1662"/>
            <w:vAlign w:val="center"/>
          </w:tcPr>
          <w:p>
            <w:r>
              <w:rPr>
                <w:sz w:val="19"/>
              </w:rPr>
              <w:t>0.344</w:t>
            </w:r>
          </w:p>
        </w:tc>
        <w:tc>
          <w:tcPr>
            <w:tcW w:type="dxa" w:w="1662"/>
            <w:vAlign w:val="center"/>
          </w:tcPr>
          <w:p>
            <w:r>
              <w:rPr>
                <w:sz w:val="19"/>
              </w:rPr>
              <w:t>-</w:t>
            </w:r>
          </w:p>
        </w:tc>
        <w:tc>
          <w:tcPr>
            <w:tcW w:type="dxa" w:w="1662"/>
            <w:vAlign w:val="center"/>
          </w:tcPr>
          <w:p>
            <w:r>
              <w:rPr>
                <w:sz w:val="19"/>
              </w:rPr>
              <w:t>-</w:t>
            </w:r>
          </w:p>
        </w:tc>
        <w:tc>
          <w:tcPr>
            <w:tcW w:type="dxa" w:w="1662"/>
            <w:vAlign w:val="center"/>
          </w:tcPr>
          <w:p>
            <w:r>
              <w:rPr>
                <w:sz w:val="19"/>
              </w:rPr>
              <w:t>-</w:t>
            </w:r>
          </w:p>
        </w:tc>
        <w:tc>
          <w:tcPr>
            <w:tcW w:type="dxa" w:w="1662"/>
            <w:vAlign w:val="center"/>
          </w:tcPr>
          <w:p>
            <w:r>
              <w:rPr>
                <w:sz w:val="19"/>
              </w:rPr>
              <w:t>0.416</w:t>
            </w:r>
          </w:p>
        </w:tc>
      </w:tr>
    </w:tbl>
    <w:p>
      <w:r>
        <w:t>Recirculation raises SEC at Biratnagar (+47 % at r = 0.9) and Taplejung (+21 %). Kathmandu shows a shallow minimum near r = 0.2-0.3 before climbing back up. The mechanism is that the evaporator cools the mixed air to ~12 deg C for dehumidification, and the collector then spends heat undoing that cooling rather than displacing compressor work. Solar fraction drops from 0.80 to 0.76 at Biratnagar as r rises.</w:t>
      </w:r>
    </w:p>
    <w:p>
      <w:pPr>
        <w:pStyle w:val="Heading2"/>
      </w:pPr>
      <w:r>
        <w:t>2.5  Takeaways</w:t>
      </w:r>
    </w:p>
    <w:p>
      <w:pPr>
        <w:pStyle w:val="ListBullet"/>
      </w:pPr>
      <w:r>
        <w:t>Open-loop with A_c = 10 m^2 is the design point: 0.287 Biratnagar, 0.344 Taplejung, 0.488 Kathmandu.</w:t>
      </w:r>
    </w:p>
    <w:p>
      <w:pPr>
        <w:pStyle w:val="ListBullet"/>
      </w:pPr>
      <w:r>
        <w:t>The collector saturates between 5 and 10 m^2 for this thermal load.</w:t>
      </w:r>
    </w:p>
    <w:p>
      <w:pPr>
        <w:pStyle w:val="ListBullet"/>
      </w:pPr>
      <w:r>
        <w:t>Closed-loop degrades Config B because the evaporator and collector act on the same stream in opposite directions. This motivates the cascade arrangements in Section 3.</w:t>
      </w:r>
    </w:p>
    <w:p>
      <w:pPr>
        <w:pStyle w:val="Heading1"/>
      </w:pPr>
      <w:r>
        <w:t>Section 3  Config C: Solar Cascade (C1 and C2)</w:t>
      </w:r>
    </w:p>
    <w:p>
      <w:r>
        <w:t>Configs C1 and C2 separate the solar and heat-pump streams. In both, the solar collector heats air directly toward T_set; the heat pump only finishes the residual lift. The two variants differ in where ambient mixes with the recirculated exhaust.</w:t>
      </w:r>
    </w:p>
    <w:p>
      <w:pPr>
        <w:pStyle w:val="ListBullet"/>
      </w:pPr>
      <w:r>
        <w:t>C1: Mix -&gt; Solar -&gt; Evap -&gt; Cond -&gt; Chamber. Mixing happens before the collector, so the collector always operates on the recirculated (warmer) stream.</w:t>
      </w:r>
    </w:p>
    <w:p>
      <w:pPr>
        <w:pStyle w:val="ListBullet"/>
      </w:pPr>
      <w:r>
        <w:t>C2: Solar -&gt; Mix -&gt; Evap -&gt; Cond -&gt; Chamber. The collector sees ambient air only; mixing with exhaust happens after the collector, before the evaporator.</w:t>
      </w:r>
    </w:p>
    <w:p>
      <w:r>
        <w:t>At r = 0 the two configurations are equivalent in topology (no recirculation to mix) and reduce to a solar-priority cascade with the evaporator drawing from the solar-heated stream.</w:t>
      </w:r>
    </w:p>
    <w:p>
      <w:pPr>
        <w:pStyle w:val="Heading2"/>
      </w:pPr>
      <w:r>
        <w:t>3.1  Open-loop baseline (r = 0, A_c = 10 m^2)</w:t>
      </w:r>
    </w:p>
    <w:p>
      <w:r>
        <w:t>Table 3.1  C1 vs. C2 at r = 0, A_c = 10 m^2, annual TMY.</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C1 SEC</w:t>
            </w:r>
          </w:p>
        </w:tc>
        <w:tc>
          <w:tcPr>
            <w:tcW w:type="dxa" w:w="1425"/>
          </w:tcPr>
          <w:p>
            <w:r>
              <w:rPr>
                <w:b/>
                <w:sz w:val="20"/>
              </w:rPr>
              <w:t>C1 time (h)</w:t>
            </w:r>
          </w:p>
        </w:tc>
        <w:tc>
          <w:tcPr>
            <w:tcW w:type="dxa" w:w="1425"/>
          </w:tcPr>
          <w:p>
            <w:r>
              <w:rPr>
                <w:b/>
                <w:sz w:val="20"/>
              </w:rPr>
              <w:t>C1 SF</w:t>
            </w:r>
          </w:p>
        </w:tc>
        <w:tc>
          <w:tcPr>
            <w:tcW w:type="dxa" w:w="1425"/>
          </w:tcPr>
          <w:p>
            <w:r>
              <w:rPr>
                <w:b/>
                <w:sz w:val="20"/>
              </w:rPr>
              <w:t>C2 SEC</w:t>
            </w:r>
          </w:p>
        </w:tc>
        <w:tc>
          <w:tcPr>
            <w:tcW w:type="dxa" w:w="1425"/>
          </w:tcPr>
          <w:p>
            <w:r>
              <w:rPr>
                <w:b/>
                <w:sz w:val="20"/>
              </w:rPr>
              <w:t>C2 time (h)</w:t>
            </w:r>
          </w:p>
        </w:tc>
        <w:tc>
          <w:tcPr>
            <w:tcW w:type="dxa" w:w="1425"/>
          </w:tcPr>
          <w:p>
            <w:r>
              <w:rPr>
                <w:b/>
                <w:sz w:val="20"/>
              </w:rPr>
              <w:t>C2 SF</w:t>
            </w:r>
          </w:p>
        </w:tc>
      </w:tr>
      <w:tr>
        <w:tc>
          <w:tcPr>
            <w:tcW w:type="dxa" w:w="1425"/>
            <w:vAlign w:val="center"/>
          </w:tcPr>
          <w:p>
            <w:r>
              <w:rPr>
                <w:sz w:val="19"/>
              </w:rPr>
              <w:t>Kathmandu</w:t>
            </w:r>
          </w:p>
        </w:tc>
        <w:tc>
          <w:tcPr>
            <w:tcW w:type="dxa" w:w="1425"/>
            <w:vAlign w:val="center"/>
          </w:tcPr>
          <w:p>
            <w:r>
              <w:rPr>
                <w:sz w:val="19"/>
              </w:rPr>
              <w:t>0.718</w:t>
            </w:r>
          </w:p>
        </w:tc>
        <w:tc>
          <w:tcPr>
            <w:tcW w:type="dxa" w:w="1425"/>
            <w:vAlign w:val="center"/>
          </w:tcPr>
          <w:p>
            <w:r>
              <w:rPr>
                <w:sz w:val="19"/>
              </w:rPr>
              <w:t>31.7</w:t>
            </w:r>
          </w:p>
        </w:tc>
        <w:tc>
          <w:tcPr>
            <w:tcW w:type="dxa" w:w="1425"/>
            <w:vAlign w:val="center"/>
          </w:tcPr>
          <w:p>
            <w:r>
              <w:rPr>
                <w:sz w:val="19"/>
              </w:rPr>
              <w:t>0.695</w:t>
            </w:r>
          </w:p>
        </w:tc>
        <w:tc>
          <w:tcPr>
            <w:tcW w:type="dxa" w:w="1425"/>
            <w:vAlign w:val="center"/>
          </w:tcPr>
          <w:p>
            <w:r>
              <w:rPr>
                <w:sz w:val="19"/>
              </w:rPr>
              <w:t>0.561</w:t>
            </w:r>
          </w:p>
        </w:tc>
        <w:tc>
          <w:tcPr>
            <w:tcW w:type="dxa" w:w="1425"/>
            <w:vAlign w:val="center"/>
          </w:tcPr>
          <w:p>
            <w:r>
              <w:rPr>
                <w:sz w:val="19"/>
              </w:rPr>
              <w:t>13.8</w:t>
            </w:r>
          </w:p>
        </w:tc>
        <w:tc>
          <w:tcPr>
            <w:tcW w:type="dxa" w:w="1425"/>
            <w:vAlign w:val="center"/>
          </w:tcPr>
          <w:p>
            <w:r>
              <w:rPr>
                <w:sz w:val="19"/>
              </w:rPr>
              <w:t>0.594</w:t>
            </w:r>
          </w:p>
        </w:tc>
      </w:tr>
      <w:tr>
        <w:tc>
          <w:tcPr>
            <w:tcW w:type="dxa" w:w="1425"/>
            <w:vAlign w:val="center"/>
          </w:tcPr>
          <w:p>
            <w:r>
              <w:rPr>
                <w:sz w:val="19"/>
              </w:rPr>
              <w:t>Biratnagar</w:t>
            </w:r>
          </w:p>
        </w:tc>
        <w:tc>
          <w:tcPr>
            <w:tcW w:type="dxa" w:w="1425"/>
            <w:vAlign w:val="center"/>
          </w:tcPr>
          <w:p>
            <w:r>
              <w:rPr>
                <w:sz w:val="19"/>
              </w:rPr>
              <w:t>0.894</w:t>
            </w:r>
          </w:p>
        </w:tc>
        <w:tc>
          <w:tcPr>
            <w:tcW w:type="dxa" w:w="1425"/>
            <w:vAlign w:val="center"/>
          </w:tcPr>
          <w:p>
            <w:r>
              <w:rPr>
                <w:sz w:val="19"/>
              </w:rPr>
              <w:t>28.4</w:t>
            </w:r>
          </w:p>
        </w:tc>
        <w:tc>
          <w:tcPr>
            <w:tcW w:type="dxa" w:w="1425"/>
            <w:vAlign w:val="center"/>
          </w:tcPr>
          <w:p>
            <w:r>
              <w:rPr>
                <w:sz w:val="19"/>
              </w:rPr>
              <w:t>0.628</w:t>
            </w:r>
          </w:p>
        </w:tc>
        <w:tc>
          <w:tcPr>
            <w:tcW w:type="dxa" w:w="1425"/>
            <w:vAlign w:val="center"/>
          </w:tcPr>
          <w:p>
            <w:r>
              <w:rPr>
                <w:sz w:val="19"/>
              </w:rPr>
              <w:t>0.381</w:t>
            </w:r>
          </w:p>
        </w:tc>
        <w:tc>
          <w:tcPr>
            <w:tcW w:type="dxa" w:w="1425"/>
            <w:vAlign w:val="center"/>
          </w:tcPr>
          <w:p>
            <w:r>
              <w:rPr>
                <w:sz w:val="19"/>
              </w:rPr>
              <w:t>14.4</w:t>
            </w:r>
          </w:p>
        </w:tc>
        <w:tc>
          <w:tcPr>
            <w:tcW w:type="dxa" w:w="1425"/>
            <w:vAlign w:val="center"/>
          </w:tcPr>
          <w:p>
            <w:r>
              <w:rPr>
                <w:sz w:val="19"/>
              </w:rPr>
              <w:t>0.755</w:t>
            </w:r>
          </w:p>
        </w:tc>
      </w:tr>
      <w:tr>
        <w:tc>
          <w:tcPr>
            <w:tcW w:type="dxa" w:w="1425"/>
            <w:vAlign w:val="center"/>
          </w:tcPr>
          <w:p>
            <w:r>
              <w:rPr>
                <w:sz w:val="19"/>
              </w:rPr>
              <w:t>Taplejung</w:t>
            </w:r>
          </w:p>
        </w:tc>
        <w:tc>
          <w:tcPr>
            <w:tcW w:type="dxa" w:w="1425"/>
            <w:vAlign w:val="center"/>
          </w:tcPr>
          <w:p>
            <w:r>
              <w:rPr>
                <w:sz w:val="19"/>
              </w:rPr>
              <w:t>0.637</w:t>
            </w:r>
          </w:p>
        </w:tc>
        <w:tc>
          <w:tcPr>
            <w:tcW w:type="dxa" w:w="1425"/>
            <w:vAlign w:val="center"/>
          </w:tcPr>
          <w:p>
            <w:r>
              <w:rPr>
                <w:sz w:val="19"/>
              </w:rPr>
              <w:t>31.7</w:t>
            </w:r>
          </w:p>
        </w:tc>
        <w:tc>
          <w:tcPr>
            <w:tcW w:type="dxa" w:w="1425"/>
            <w:vAlign w:val="center"/>
          </w:tcPr>
          <w:p>
            <w:r>
              <w:rPr>
                <w:sz w:val="19"/>
              </w:rPr>
              <w:t>0.713</w:t>
            </w:r>
          </w:p>
        </w:tc>
        <w:tc>
          <w:tcPr>
            <w:tcW w:type="dxa" w:w="1425"/>
            <w:vAlign w:val="center"/>
          </w:tcPr>
          <w:p>
            <w:r>
              <w:rPr>
                <w:sz w:val="19"/>
              </w:rPr>
              <w:t>0.424</w:t>
            </w:r>
          </w:p>
        </w:tc>
        <w:tc>
          <w:tcPr>
            <w:tcW w:type="dxa" w:w="1425"/>
            <w:vAlign w:val="center"/>
          </w:tcPr>
          <w:p>
            <w:r>
              <w:rPr>
                <w:sz w:val="19"/>
              </w:rPr>
              <w:t>14.0</w:t>
            </w:r>
          </w:p>
        </w:tc>
        <w:tc>
          <w:tcPr>
            <w:tcW w:type="dxa" w:w="1425"/>
            <w:vAlign w:val="center"/>
          </w:tcPr>
          <w:p>
            <w:r>
              <w:rPr>
                <w:sz w:val="19"/>
              </w:rPr>
              <w:t>0.672</w:t>
            </w:r>
          </w:p>
        </w:tc>
      </w:tr>
    </w:tbl>
    <w:p>
      <w:r>
        <w:t>C1 and C2 diverge at r = 0 because of how the evaporator is fed. In C1 the solar-heated air passes through the evaporator before the condenser. When solar irradiance is high the evaporator sees an already-hot stream it cannot effectively absorb heat from (the evap saturation temperature tracks its own supply), which stalls the cycle and extends drying time to 28-32 h. In C2 the solar stream goes straight to the chamber through the condenser while the evaporator draws from ambient; the heat pump runs on its normal envelope.</w:t>
      </w:r>
    </w:p>
    <w:p>
      <w:r>
        <w:t>C2 delivers 0.381 kWh/kg at Biratnagar, 0.424 at Taplejung, 0.561 at Kathmandu, beating Config B at Kathmandu but not at Biratnagar or Taplejung. Solar fraction is slightly lower than Config B (0.59-0.76) because the evaporator rejects its heat to ambient instead of displacing condenser duty.</w:t>
      </w:r>
    </w:p>
    <w:p>
      <w:pPr>
        <w:pStyle w:val="Heading2"/>
      </w:pPr>
      <w:r>
        <w:t>3.2  Takeaways</w:t>
      </w:r>
    </w:p>
    <w:p>
      <w:pPr>
        <w:pStyle w:val="ListBullet"/>
      </w:pPr>
      <w:r>
        <w:t>C1 is not operationally viable in this thermal envelope. Cascade placement that forces the evaporator to draw from a solar-preheated stream stalls the heat-pump cycle.</w:t>
      </w:r>
    </w:p>
    <w:p>
      <w:pPr>
        <w:pStyle w:val="ListBullet"/>
      </w:pPr>
      <w:r>
        <w:t>C2 preserves an independent evaporator envelope and performs similarly to Config B on an annual basis. It trades lower solar fraction for decoupled component operation.</w:t>
      </w:r>
    </w:p>
    <w:p>
      <w:pPr>
        <w:pStyle w:val="ListBullet"/>
      </w:pPr>
      <w:r>
        <w:t>Neither C-variant beats Config B at Biratnagar, which remains the benchmark at warm sites.</w:t>
      </w:r>
    </w:p>
    <w:p>
      <w:pPr>
        <w:pStyle w:val="Heading1"/>
      </w:pPr>
      <w:r>
        <w:t>Section 4  Config D: Heat-Recovery Exchanger</w:t>
      </w:r>
    </w:p>
    <w:p>
      <w:r>
        <w:t>Config D adds a counter-flow air-to-air plate heat exchanger (HRX, eps = 0.70, sensible-only) between exhaust and supply. No solar component. Two variants differ in how the evaporator is fed.</w:t>
      </w:r>
    </w:p>
    <w:p>
      <w:pPr>
        <w:pStyle w:val="ListBullet"/>
      </w:pPr>
      <w:r>
        <w:t>D1: Ambient -&gt; HRX -&gt; Condenser -&gt; Chamber; Exhaust -&gt; HRX -&gt; expelled. Evaporator draws from ambient.</w:t>
      </w:r>
    </w:p>
    <w:p>
      <w:pPr>
        <w:pStyle w:val="ListBullet"/>
      </w:pPr>
      <w:r>
        <w:t>D2: same supply side as D1; evaporator draws from a dynamic mix of exhaust (post-HRX) and ambient, which raises its saturation temperature toward the exhaust-enthalpy side.</w:t>
      </w:r>
    </w:p>
    <w:p>
      <w:pPr>
        <w:pStyle w:val="Heading2"/>
      </w:pPr>
      <w:r>
        <w:t>4.1  Open-loop baseline, r = 0</w:t>
      </w:r>
    </w:p>
    <w:p>
      <w:r>
        <w:t>Table 4.1  Config D1 annual-TMY, r = 0.</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Site</w:t>
            </w:r>
          </w:p>
        </w:tc>
        <w:tc>
          <w:tcPr>
            <w:tcW w:type="dxa" w:w="1662"/>
          </w:tcPr>
          <w:p>
            <w:r>
              <w:rPr>
                <w:b/>
                <w:sz w:val="20"/>
              </w:rPr>
              <w:t>Time (h)</w:t>
            </w:r>
          </w:p>
        </w:tc>
        <w:tc>
          <w:tcPr>
            <w:tcW w:type="dxa" w:w="1662"/>
          </w:tcPr>
          <w:p>
            <w:r>
              <w:rPr>
                <w:b/>
                <w:sz w:val="20"/>
              </w:rPr>
              <w:t>SEC</w:t>
            </w:r>
          </w:p>
        </w:tc>
        <w:tc>
          <w:tcPr>
            <w:tcW w:type="dxa" w:w="1662"/>
          </w:tcPr>
          <w:p>
            <w:r>
              <w:rPr>
                <w:b/>
                <w:sz w:val="20"/>
              </w:rPr>
              <w:t>W_comp (kWh)</w:t>
            </w:r>
          </w:p>
        </w:tc>
        <w:tc>
          <w:tcPr>
            <w:tcW w:type="dxa" w:w="1662"/>
          </w:tcPr>
          <w:p>
            <w:r>
              <w:rPr>
                <w:b/>
                <w:sz w:val="20"/>
              </w:rPr>
              <w:t>Q_HRX (kWh)</w:t>
            </w:r>
          </w:p>
        </w:tc>
        <w:tc>
          <w:tcPr>
            <w:tcW w:type="dxa" w:w="1662"/>
          </w:tcPr>
          <w:p>
            <w:r>
              <w:rPr>
                <w:b/>
                <w:sz w:val="20"/>
              </w:rPr>
              <w:t>COP_mean</w:t>
            </w:r>
          </w:p>
        </w:tc>
      </w:tr>
      <w:tr>
        <w:tc>
          <w:tcPr>
            <w:tcW w:type="dxa" w:w="1662"/>
            <w:vAlign w:val="center"/>
          </w:tcPr>
          <w:p>
            <w:r>
              <w:rPr>
                <w:sz w:val="19"/>
              </w:rPr>
              <w:t>Kathmandu</w:t>
            </w:r>
          </w:p>
        </w:tc>
        <w:tc>
          <w:tcPr>
            <w:tcW w:type="dxa" w:w="1662"/>
            <w:vAlign w:val="center"/>
          </w:tcPr>
          <w:p>
            <w:r>
              <w:rPr>
                <w:sz w:val="19"/>
              </w:rPr>
              <w:t>13.85</w:t>
            </w:r>
          </w:p>
        </w:tc>
        <w:tc>
          <w:tcPr>
            <w:tcW w:type="dxa" w:w="1662"/>
            <w:vAlign w:val="center"/>
          </w:tcPr>
          <w:p>
            <w:r>
              <w:rPr>
                <w:sz w:val="19"/>
              </w:rPr>
              <w:t>0.365</w:t>
            </w:r>
          </w:p>
        </w:tc>
        <w:tc>
          <w:tcPr>
            <w:tcW w:type="dxa" w:w="1662"/>
            <w:vAlign w:val="center"/>
          </w:tcPr>
          <w:p>
            <w:r>
              <w:rPr>
                <w:sz w:val="19"/>
              </w:rPr>
              <w:t>6.60</w:t>
            </w:r>
          </w:p>
        </w:tc>
        <w:tc>
          <w:tcPr>
            <w:tcW w:type="dxa" w:w="1662"/>
            <w:vAlign w:val="center"/>
          </w:tcPr>
          <w:p>
            <w:r>
              <w:rPr>
                <w:sz w:val="19"/>
              </w:rPr>
              <w:t>25.14</w:t>
            </w:r>
          </w:p>
        </w:tc>
        <w:tc>
          <w:tcPr>
            <w:tcW w:type="dxa" w:w="1662"/>
            <w:vAlign w:val="center"/>
          </w:tcPr>
          <w:p>
            <w:r>
              <w:rPr>
                <w:sz w:val="19"/>
              </w:rPr>
              <w:t>3.63</w:t>
            </w:r>
          </w:p>
        </w:tc>
      </w:tr>
      <w:tr>
        <w:tc>
          <w:tcPr>
            <w:tcW w:type="dxa" w:w="1662"/>
            <w:vAlign w:val="center"/>
          </w:tcPr>
          <w:p>
            <w:r>
              <w:rPr>
                <w:sz w:val="19"/>
              </w:rPr>
              <w:t>Biratnagar</w:t>
            </w:r>
          </w:p>
        </w:tc>
        <w:tc>
          <w:tcPr>
            <w:tcW w:type="dxa" w:w="1662"/>
            <w:vAlign w:val="center"/>
          </w:tcPr>
          <w:p>
            <w:r>
              <w:rPr>
                <w:sz w:val="19"/>
              </w:rPr>
              <w:t>14.45</w:t>
            </w:r>
          </w:p>
        </w:tc>
        <w:tc>
          <w:tcPr>
            <w:tcW w:type="dxa" w:w="1662"/>
            <w:vAlign w:val="center"/>
          </w:tcPr>
          <w:p>
            <w:r>
              <w:rPr>
                <w:sz w:val="19"/>
              </w:rPr>
              <w:t>0.293</w:t>
            </w:r>
          </w:p>
        </w:tc>
        <w:tc>
          <w:tcPr>
            <w:tcW w:type="dxa" w:w="1662"/>
            <w:vAlign w:val="center"/>
          </w:tcPr>
          <w:p>
            <w:r>
              <w:rPr>
                <w:sz w:val="19"/>
              </w:rPr>
              <w:t>5.18</w:t>
            </w:r>
          </w:p>
        </w:tc>
        <w:tc>
          <w:tcPr>
            <w:tcW w:type="dxa" w:w="1662"/>
            <w:vAlign w:val="center"/>
          </w:tcPr>
          <w:p>
            <w:r>
              <w:rPr>
                <w:sz w:val="19"/>
              </w:rPr>
              <w:t>21.95</w:t>
            </w:r>
          </w:p>
        </w:tc>
        <w:tc>
          <w:tcPr>
            <w:tcW w:type="dxa" w:w="1662"/>
            <w:vAlign w:val="center"/>
          </w:tcPr>
          <w:p>
            <w:r>
              <w:rPr>
                <w:sz w:val="19"/>
              </w:rPr>
              <w:t>4.43</w:t>
            </w:r>
          </w:p>
        </w:tc>
      </w:tr>
      <w:tr>
        <w:tc>
          <w:tcPr>
            <w:tcW w:type="dxa" w:w="1662"/>
            <w:vAlign w:val="center"/>
          </w:tcPr>
          <w:p>
            <w:r>
              <w:rPr>
                <w:sz w:val="19"/>
              </w:rPr>
              <w:t>Taplejung</w:t>
            </w:r>
          </w:p>
        </w:tc>
        <w:tc>
          <w:tcPr>
            <w:tcW w:type="dxa" w:w="1662"/>
            <w:vAlign w:val="center"/>
          </w:tcPr>
          <w:p>
            <w:r>
              <w:rPr>
                <w:sz w:val="19"/>
              </w:rPr>
              <w:t>13.97</w:t>
            </w:r>
          </w:p>
        </w:tc>
        <w:tc>
          <w:tcPr>
            <w:tcW w:type="dxa" w:w="1662"/>
            <w:vAlign w:val="center"/>
          </w:tcPr>
          <w:p>
            <w:r>
              <w:rPr>
                <w:sz w:val="19"/>
              </w:rPr>
              <w:t>0.310</w:t>
            </w:r>
          </w:p>
        </w:tc>
        <w:tc>
          <w:tcPr>
            <w:tcW w:type="dxa" w:w="1662"/>
            <w:vAlign w:val="center"/>
          </w:tcPr>
          <w:p>
            <w:r>
              <w:rPr>
                <w:sz w:val="19"/>
              </w:rPr>
              <w:t>5.54</w:t>
            </w:r>
          </w:p>
        </w:tc>
        <w:tc>
          <w:tcPr>
            <w:tcW w:type="dxa" w:w="1662"/>
            <w:vAlign w:val="center"/>
          </w:tcPr>
          <w:p>
            <w:r>
              <w:rPr>
                <w:sz w:val="19"/>
              </w:rPr>
              <w:t>19.95</w:t>
            </w:r>
          </w:p>
        </w:tc>
        <w:tc>
          <w:tcPr>
            <w:tcW w:type="dxa" w:w="1662"/>
            <w:vAlign w:val="center"/>
          </w:tcPr>
          <w:p>
            <w:r>
              <w:rPr>
                <w:sz w:val="19"/>
              </w:rPr>
              <w:t>3.92</w:t>
            </w:r>
          </w:p>
        </w:tc>
      </w:tr>
    </w:tbl>
    <w:p>
      <w:r>
        <w:t>Table 4.2  Config D2 annual-TMY, r = 0.</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Site</w:t>
            </w:r>
          </w:p>
        </w:tc>
        <w:tc>
          <w:tcPr>
            <w:tcW w:type="dxa" w:w="1662"/>
          </w:tcPr>
          <w:p>
            <w:r>
              <w:rPr>
                <w:b/>
                <w:sz w:val="20"/>
              </w:rPr>
              <w:t>Time (h)</w:t>
            </w:r>
          </w:p>
        </w:tc>
        <w:tc>
          <w:tcPr>
            <w:tcW w:type="dxa" w:w="1662"/>
          </w:tcPr>
          <w:p>
            <w:r>
              <w:rPr>
                <w:b/>
                <w:sz w:val="20"/>
              </w:rPr>
              <w:t>SEC</w:t>
            </w:r>
          </w:p>
        </w:tc>
        <w:tc>
          <w:tcPr>
            <w:tcW w:type="dxa" w:w="1662"/>
          </w:tcPr>
          <w:p>
            <w:r>
              <w:rPr>
                <w:b/>
                <w:sz w:val="20"/>
              </w:rPr>
              <w:t>W_comp (kWh)</w:t>
            </w:r>
          </w:p>
        </w:tc>
        <w:tc>
          <w:tcPr>
            <w:tcW w:type="dxa" w:w="1662"/>
          </w:tcPr>
          <w:p>
            <w:r>
              <w:rPr>
                <w:b/>
                <w:sz w:val="20"/>
              </w:rPr>
              <w:t>Q_HRX (kWh)</w:t>
            </w:r>
          </w:p>
        </w:tc>
        <w:tc>
          <w:tcPr>
            <w:tcW w:type="dxa" w:w="1662"/>
          </w:tcPr>
          <w:p>
            <w:r>
              <w:rPr>
                <w:b/>
                <w:sz w:val="20"/>
              </w:rPr>
              <w:t>COP_mean</w:t>
            </w:r>
          </w:p>
        </w:tc>
      </w:tr>
      <w:tr>
        <w:tc>
          <w:tcPr>
            <w:tcW w:type="dxa" w:w="1662"/>
            <w:vAlign w:val="center"/>
          </w:tcPr>
          <w:p>
            <w:r>
              <w:rPr>
                <w:sz w:val="19"/>
              </w:rPr>
              <w:t>Kathmandu</w:t>
            </w:r>
          </w:p>
        </w:tc>
        <w:tc>
          <w:tcPr>
            <w:tcW w:type="dxa" w:w="1662"/>
            <w:vAlign w:val="center"/>
          </w:tcPr>
          <w:p>
            <w:r>
              <w:rPr>
                <w:sz w:val="19"/>
              </w:rPr>
              <w:t>13.85</w:t>
            </w:r>
          </w:p>
        </w:tc>
        <w:tc>
          <w:tcPr>
            <w:tcW w:type="dxa" w:w="1662"/>
            <w:vAlign w:val="center"/>
          </w:tcPr>
          <w:p>
            <w:r>
              <w:rPr>
                <w:sz w:val="19"/>
              </w:rPr>
              <w:t>0.354</w:t>
            </w:r>
          </w:p>
        </w:tc>
        <w:tc>
          <w:tcPr>
            <w:tcW w:type="dxa" w:w="1662"/>
            <w:vAlign w:val="center"/>
          </w:tcPr>
          <w:p>
            <w:r>
              <w:rPr>
                <w:sz w:val="19"/>
              </w:rPr>
              <w:t>6.19</w:t>
            </w:r>
          </w:p>
        </w:tc>
        <w:tc>
          <w:tcPr>
            <w:tcW w:type="dxa" w:w="1662"/>
            <w:vAlign w:val="center"/>
          </w:tcPr>
          <w:p>
            <w:r>
              <w:rPr>
                <w:sz w:val="19"/>
              </w:rPr>
              <w:t>25.14</w:t>
            </w:r>
          </w:p>
        </w:tc>
        <w:tc>
          <w:tcPr>
            <w:tcW w:type="dxa" w:w="1662"/>
            <w:vAlign w:val="center"/>
          </w:tcPr>
          <w:p>
            <w:r>
              <w:rPr>
                <w:sz w:val="19"/>
              </w:rPr>
              <w:t>3.95</w:t>
            </w:r>
          </w:p>
        </w:tc>
      </w:tr>
      <w:tr>
        <w:tc>
          <w:tcPr>
            <w:tcW w:type="dxa" w:w="1662"/>
            <w:vAlign w:val="center"/>
          </w:tcPr>
          <w:p>
            <w:r>
              <w:rPr>
                <w:sz w:val="19"/>
              </w:rPr>
              <w:t>Biratnagar</w:t>
            </w:r>
          </w:p>
        </w:tc>
        <w:tc>
          <w:tcPr>
            <w:tcW w:type="dxa" w:w="1662"/>
            <w:vAlign w:val="center"/>
          </w:tcPr>
          <w:p>
            <w:r>
              <w:rPr>
                <w:sz w:val="19"/>
              </w:rPr>
              <w:t>14.45</w:t>
            </w:r>
          </w:p>
        </w:tc>
        <w:tc>
          <w:tcPr>
            <w:tcW w:type="dxa" w:w="1662"/>
            <w:vAlign w:val="center"/>
          </w:tcPr>
          <w:p>
            <w:r>
              <w:rPr>
                <w:sz w:val="19"/>
              </w:rPr>
              <w:t>0.282</w:t>
            </w:r>
          </w:p>
        </w:tc>
        <w:tc>
          <w:tcPr>
            <w:tcW w:type="dxa" w:w="1662"/>
            <w:vAlign w:val="center"/>
          </w:tcPr>
          <w:p>
            <w:r>
              <w:rPr>
                <w:sz w:val="19"/>
              </w:rPr>
              <w:t>4.75</w:t>
            </w:r>
          </w:p>
        </w:tc>
        <w:tc>
          <w:tcPr>
            <w:tcW w:type="dxa" w:w="1662"/>
            <w:vAlign w:val="center"/>
          </w:tcPr>
          <w:p>
            <w:r>
              <w:rPr>
                <w:sz w:val="19"/>
              </w:rPr>
              <w:t>21.95</w:t>
            </w:r>
          </w:p>
        </w:tc>
        <w:tc>
          <w:tcPr>
            <w:tcW w:type="dxa" w:w="1662"/>
            <w:vAlign w:val="center"/>
          </w:tcPr>
          <w:p>
            <w:r>
              <w:rPr>
                <w:sz w:val="19"/>
              </w:rPr>
              <w:t>5.00</w:t>
            </w:r>
          </w:p>
        </w:tc>
      </w:tr>
      <w:tr>
        <w:tc>
          <w:tcPr>
            <w:tcW w:type="dxa" w:w="1662"/>
            <w:vAlign w:val="center"/>
          </w:tcPr>
          <w:p>
            <w:r>
              <w:rPr>
                <w:sz w:val="19"/>
              </w:rPr>
              <w:t>Taplejung</w:t>
            </w:r>
          </w:p>
        </w:tc>
        <w:tc>
          <w:tcPr>
            <w:tcW w:type="dxa" w:w="1662"/>
            <w:vAlign w:val="center"/>
          </w:tcPr>
          <w:p>
            <w:r>
              <w:rPr>
                <w:sz w:val="19"/>
              </w:rPr>
              <w:t>13.97</w:t>
            </w:r>
          </w:p>
        </w:tc>
        <w:tc>
          <w:tcPr>
            <w:tcW w:type="dxa" w:w="1662"/>
            <w:vAlign w:val="center"/>
          </w:tcPr>
          <w:p>
            <w:r>
              <w:rPr>
                <w:sz w:val="19"/>
              </w:rPr>
              <w:t>0.299</w:t>
            </w:r>
          </w:p>
        </w:tc>
        <w:tc>
          <w:tcPr>
            <w:tcW w:type="dxa" w:w="1662"/>
            <w:vAlign w:val="center"/>
          </w:tcPr>
          <w:p>
            <w:r>
              <w:rPr>
                <w:sz w:val="19"/>
              </w:rPr>
              <w:t>5.12</w:t>
            </w:r>
          </w:p>
        </w:tc>
        <w:tc>
          <w:tcPr>
            <w:tcW w:type="dxa" w:w="1662"/>
            <w:vAlign w:val="center"/>
          </w:tcPr>
          <w:p>
            <w:r>
              <w:rPr>
                <w:sz w:val="19"/>
              </w:rPr>
              <w:t>19.95</w:t>
            </w:r>
          </w:p>
        </w:tc>
        <w:tc>
          <w:tcPr>
            <w:tcW w:type="dxa" w:w="1662"/>
            <w:vAlign w:val="center"/>
          </w:tcPr>
          <w:p>
            <w:r>
              <w:rPr>
                <w:sz w:val="19"/>
              </w:rPr>
              <w:t>4.39</w:t>
            </w:r>
          </w:p>
        </w:tc>
      </w:tr>
    </w:tbl>
    <w:p>
      <w:r>
        <w:t>D1 achieves 0.293 at Biratnagar, 0.310 at Taplejung, 0.365 at Kathmandu. The HRX recovers 20-25 kWh of exhaust enthalpy per batch, offsetting a comparable share of the condenser duty. SEC reduction vs. Config A is 46-49 % without any solar input.</w:t>
      </w:r>
    </w:p>
    <w:p>
      <w:r>
        <w:t>D2 improves on D1 by 3-4 % across sites by feeding warmer air to the evaporator, raising T_evap_sat and reducing the pressure ratio. SEC at Biratnagar is 0.282; Kathmandu 0.354; Taplejung 0.299.</w:t>
      </w:r>
    </w:p>
    <w:p>
      <w:pPr>
        <w:pStyle w:val="Heading2"/>
      </w:pPr>
      <w:r>
        <w:t>4.2  Seasonal (D2)</w:t>
      </w:r>
    </w:p>
    <w:p>
      <w:r>
        <w:t>Table 4.3  Config D2 seasonal SEC (kWh/kg), r = 0.</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w:t>
            </w:r>
          </w:p>
        </w:tc>
        <w:tc>
          <w:tcPr>
            <w:tcW w:type="dxa" w:w="2493"/>
          </w:tcPr>
          <w:p>
            <w:r>
              <w:rPr>
                <w:b/>
                <w:sz w:val="20"/>
              </w:rPr>
              <w:t>Spring</w:t>
            </w:r>
          </w:p>
        </w:tc>
        <w:tc>
          <w:tcPr>
            <w:tcW w:type="dxa" w:w="2493"/>
          </w:tcPr>
          <w:p>
            <w:r>
              <w:rPr>
                <w:b/>
                <w:sz w:val="20"/>
              </w:rPr>
              <w:t>Autumn</w:t>
            </w:r>
          </w:p>
        </w:tc>
      </w:tr>
      <w:tr>
        <w:tc>
          <w:tcPr>
            <w:tcW w:type="dxa" w:w="2493"/>
            <w:vAlign w:val="center"/>
          </w:tcPr>
          <w:p>
            <w:r>
              <w:rPr>
                <w:sz w:val="19"/>
              </w:rPr>
              <w:t>Biratnagar</w:t>
            </w:r>
          </w:p>
        </w:tc>
        <w:tc>
          <w:tcPr>
            <w:tcW w:type="dxa" w:w="2493"/>
            <w:vAlign w:val="center"/>
          </w:tcPr>
          <w:p>
            <w:r>
              <w:rPr>
                <w:sz w:val="19"/>
              </w:rPr>
              <w:t>0.241</w:t>
            </w:r>
          </w:p>
        </w:tc>
        <w:tc>
          <w:tcPr>
            <w:tcW w:type="dxa" w:w="2493"/>
            <w:vAlign w:val="center"/>
          </w:tcPr>
          <w:p>
            <w:r>
              <w:rPr>
                <w:sz w:val="19"/>
              </w:rPr>
              <w:t>0.225</w:t>
            </w:r>
          </w:p>
        </w:tc>
        <w:tc>
          <w:tcPr>
            <w:tcW w:type="dxa" w:w="2493"/>
            <w:vAlign w:val="center"/>
          </w:tcPr>
          <w:p>
            <w:r>
              <w:rPr>
                <w:sz w:val="19"/>
              </w:rPr>
              <w:t>0.241</w:t>
            </w:r>
          </w:p>
        </w:tc>
      </w:tr>
      <w:tr>
        <w:tc>
          <w:tcPr>
            <w:tcW w:type="dxa" w:w="2493"/>
            <w:vAlign w:val="center"/>
          </w:tcPr>
          <w:p>
            <w:r>
              <w:rPr>
                <w:sz w:val="19"/>
              </w:rPr>
              <w:t>Kathmandu</w:t>
            </w:r>
          </w:p>
        </w:tc>
        <w:tc>
          <w:tcPr>
            <w:tcW w:type="dxa" w:w="2493"/>
            <w:vAlign w:val="center"/>
          </w:tcPr>
          <w:p>
            <w:r>
              <w:rPr>
                <w:sz w:val="19"/>
              </w:rPr>
              <w:t>0.306</w:t>
            </w:r>
          </w:p>
        </w:tc>
        <w:tc>
          <w:tcPr>
            <w:tcW w:type="dxa" w:w="2493"/>
            <w:vAlign w:val="center"/>
          </w:tcPr>
          <w:p>
            <w:r>
              <w:rPr>
                <w:sz w:val="19"/>
              </w:rPr>
              <w:t>0.273</w:t>
            </w:r>
          </w:p>
        </w:tc>
        <w:tc>
          <w:tcPr>
            <w:tcW w:type="dxa" w:w="2493"/>
            <w:vAlign w:val="center"/>
          </w:tcPr>
          <w:p>
            <w:r>
              <w:rPr>
                <w:sz w:val="19"/>
              </w:rPr>
              <w:t>0.267</w:t>
            </w:r>
          </w:p>
        </w:tc>
      </w:tr>
      <w:tr>
        <w:tc>
          <w:tcPr>
            <w:tcW w:type="dxa" w:w="2493"/>
            <w:vAlign w:val="center"/>
          </w:tcPr>
          <w:p>
            <w:r>
              <w:rPr>
                <w:sz w:val="19"/>
              </w:rPr>
              <w:t>Taplejung</w:t>
            </w:r>
          </w:p>
        </w:tc>
        <w:tc>
          <w:tcPr>
            <w:tcW w:type="dxa" w:w="2493"/>
            <w:vAlign w:val="center"/>
          </w:tcPr>
          <w:p>
            <w:r>
              <w:rPr>
                <w:sz w:val="19"/>
              </w:rPr>
              <w:t>0.317</w:t>
            </w:r>
          </w:p>
        </w:tc>
        <w:tc>
          <w:tcPr>
            <w:tcW w:type="dxa" w:w="2493"/>
            <w:vAlign w:val="center"/>
          </w:tcPr>
          <w:p>
            <w:r>
              <w:rPr>
                <w:sz w:val="19"/>
              </w:rPr>
              <w:t>0.260</w:t>
            </w:r>
          </w:p>
        </w:tc>
        <w:tc>
          <w:tcPr>
            <w:tcW w:type="dxa" w:w="2493"/>
            <w:vAlign w:val="center"/>
          </w:tcPr>
          <w:p>
            <w:r>
              <w:rPr>
                <w:sz w:val="19"/>
              </w:rPr>
              <w:t>0.255</w:t>
            </w:r>
          </w:p>
        </w:tc>
      </w:tr>
    </w:tbl>
    <w:p>
      <w:pPr>
        <w:pStyle w:val="Heading2"/>
      </w:pPr>
      <w:r>
        <w:t>4.3  Takeaways</w:t>
      </w:r>
    </w:p>
    <w:p>
      <w:pPr>
        <w:pStyle w:val="ListBullet"/>
      </w:pPr>
      <w:r>
        <w:t>HRX alone (no solar) drops SEC by 46-49 % vs. Config A. This is the largest single-component gain in the study.</w:t>
      </w:r>
    </w:p>
    <w:p>
      <w:pPr>
        <w:pStyle w:val="ListBullet"/>
      </w:pPr>
      <w:r>
        <w:t>D2 improves on D1 by warming the evaporator supply; the gain is small (3-4 %) but consistent.</w:t>
      </w:r>
    </w:p>
    <w:p>
      <w:pPr>
        <w:pStyle w:val="ListBullet"/>
      </w:pPr>
      <w:r>
        <w:t>D1 and D2 preserve an open-loop path and do not trigger the evaporator-collector conflict that limits closed-loop Configs A and B.</w:t>
      </w:r>
    </w:p>
    <w:p>
      <w:pPr>
        <w:pStyle w:val="Heading1"/>
      </w:pPr>
      <w:r>
        <w:t>Section 5  VPD Bypass Control</w:t>
      </w:r>
    </w:p>
    <w:p>
      <w:r>
        <w:t>The vapour-pressure-deficit (VPD) bypass diverts a share of the process air around the drying chamber when the chamber humidity has fallen enough that continued drying becomes kinetically slow (VPD exceeds 0.05 kPa). The bypassed stream is expelled (in D/E, exhaust-side bypass) or returned to the condenser inlet (in A/B, condenser-direct bypass), cutting fan and compressor work during the tail of the batch. Activation oscillates with 3x hysteresis and 600 s dwell to avoid chatter.</w:t>
      </w:r>
    </w:p>
    <w:p>
      <w:pPr>
        <w:pStyle w:val="Heading2"/>
      </w:pPr>
      <w:r>
        <w:t>5.1  Annual-TMY SEC reduction with VPD bypass</w:t>
      </w:r>
    </w:p>
    <w:p>
      <w:r>
        <w:t>Table 5.1  Annual-TMY SEC (kWh/kg) with and without VPD bypass.</w:t>
      </w:r>
    </w:p>
    <w:tbl>
      <w:tblPr>
        <w:tblStyle w:val="LightGrid-Accent1"/>
        <w:tblW w:type="auto" w:w="0"/>
        <w:tblLayout w:type="autofit"/>
        <w:tblLook w:firstColumn="1" w:firstRow="1" w:lastColumn="0" w:lastRow="0" w:noHBand="0" w:noVBand="1" w:val="04A0"/>
      </w:tblPr>
      <w:tblGrid>
        <w:gridCol w:w="1994"/>
        <w:gridCol w:w="1994"/>
        <w:gridCol w:w="1994"/>
        <w:gridCol w:w="1994"/>
        <w:gridCol w:w="1994"/>
      </w:tblGrid>
      <w:tr>
        <w:tc>
          <w:tcPr>
            <w:tcW w:type="dxa" w:w="1994"/>
          </w:tcPr>
          <w:p>
            <w:r>
              <w:rPr>
                <w:b/>
                <w:sz w:val="20"/>
              </w:rPr>
              <w:t>Config</w:t>
            </w:r>
          </w:p>
        </w:tc>
        <w:tc>
          <w:tcPr>
            <w:tcW w:type="dxa" w:w="1994"/>
          </w:tcPr>
          <w:p>
            <w:r>
              <w:rPr>
                <w:b/>
                <w:sz w:val="20"/>
              </w:rPr>
              <w:t>Site</w:t>
            </w:r>
          </w:p>
        </w:tc>
        <w:tc>
          <w:tcPr>
            <w:tcW w:type="dxa" w:w="1994"/>
          </w:tcPr>
          <w:p>
            <w:r>
              <w:rPr>
                <w:b/>
                <w:sz w:val="20"/>
              </w:rPr>
              <w:t>SEC off</w:t>
            </w:r>
          </w:p>
        </w:tc>
        <w:tc>
          <w:tcPr>
            <w:tcW w:type="dxa" w:w="1994"/>
          </w:tcPr>
          <w:p>
            <w:r>
              <w:rPr>
                <w:b/>
                <w:sz w:val="20"/>
              </w:rPr>
              <w:t>SEC on</w:t>
            </w:r>
          </w:p>
        </w:tc>
        <w:tc>
          <w:tcPr>
            <w:tcW w:type="dxa" w:w="1994"/>
          </w:tcPr>
          <w:p>
            <w:r>
              <w:rPr>
                <w:b/>
                <w:sz w:val="20"/>
              </w:rPr>
              <w:t>Reduction</w:t>
            </w:r>
          </w:p>
        </w:tc>
      </w:tr>
      <w:tr>
        <w:tc>
          <w:tcPr>
            <w:tcW w:type="dxa" w:w="1994"/>
            <w:vAlign w:val="center"/>
          </w:tcPr>
          <w:p>
            <w:r>
              <w:rPr>
                <w:sz w:val="19"/>
              </w:rPr>
              <w:t>A r=0.9</w:t>
            </w:r>
          </w:p>
        </w:tc>
        <w:tc>
          <w:tcPr>
            <w:tcW w:type="dxa" w:w="1994"/>
            <w:vAlign w:val="center"/>
          </w:tcPr>
          <w:p>
            <w:r>
              <w:rPr>
                <w:sz w:val="19"/>
              </w:rPr>
              <w:t>Kathmandu</w:t>
            </w:r>
          </w:p>
        </w:tc>
        <w:tc>
          <w:tcPr>
            <w:tcW w:type="dxa" w:w="1994"/>
            <w:vAlign w:val="center"/>
          </w:tcPr>
          <w:p>
            <w:r>
              <w:rPr>
                <w:sz w:val="19"/>
              </w:rPr>
              <w:t>0.669</w:t>
            </w:r>
          </w:p>
        </w:tc>
        <w:tc>
          <w:tcPr>
            <w:tcW w:type="dxa" w:w="1994"/>
            <w:vAlign w:val="center"/>
          </w:tcPr>
          <w:p>
            <w:r>
              <w:rPr>
                <w:sz w:val="19"/>
              </w:rPr>
              <w:t>0.536</w:t>
            </w:r>
          </w:p>
        </w:tc>
        <w:tc>
          <w:tcPr>
            <w:tcW w:type="dxa" w:w="1994"/>
            <w:vAlign w:val="center"/>
          </w:tcPr>
          <w:p>
            <w:r>
              <w:rPr>
                <w:sz w:val="19"/>
              </w:rPr>
              <w:t>-19.8 %</w:t>
            </w:r>
          </w:p>
        </w:tc>
      </w:tr>
      <w:tr>
        <w:tc>
          <w:tcPr>
            <w:tcW w:type="dxa" w:w="1994"/>
            <w:vAlign w:val="center"/>
          </w:tcPr>
          <w:p>
            <w:r>
              <w:rPr>
                <w:sz w:val="19"/>
              </w:rPr>
              <w:t>A r=0.9</w:t>
            </w:r>
          </w:p>
        </w:tc>
        <w:tc>
          <w:tcPr>
            <w:tcW w:type="dxa" w:w="1994"/>
            <w:vAlign w:val="center"/>
          </w:tcPr>
          <w:p>
            <w:r>
              <w:rPr>
                <w:sz w:val="19"/>
              </w:rPr>
              <w:t>Biratnagar</w:t>
            </w:r>
          </w:p>
        </w:tc>
        <w:tc>
          <w:tcPr>
            <w:tcW w:type="dxa" w:w="1994"/>
            <w:vAlign w:val="center"/>
          </w:tcPr>
          <w:p>
            <w:r>
              <w:rPr>
                <w:sz w:val="19"/>
              </w:rPr>
              <w:t>0.753</w:t>
            </w:r>
          </w:p>
        </w:tc>
        <w:tc>
          <w:tcPr>
            <w:tcW w:type="dxa" w:w="1994"/>
            <w:vAlign w:val="center"/>
          </w:tcPr>
          <w:p>
            <w:r>
              <w:rPr>
                <w:sz w:val="19"/>
              </w:rPr>
              <w:t>0.617</w:t>
            </w:r>
          </w:p>
        </w:tc>
        <w:tc>
          <w:tcPr>
            <w:tcW w:type="dxa" w:w="1994"/>
            <w:vAlign w:val="center"/>
          </w:tcPr>
          <w:p>
            <w:r>
              <w:rPr>
                <w:sz w:val="19"/>
              </w:rPr>
              <w:t>-18.1 %</w:t>
            </w:r>
          </w:p>
        </w:tc>
      </w:tr>
      <w:tr>
        <w:tc>
          <w:tcPr>
            <w:tcW w:type="dxa" w:w="1994"/>
            <w:vAlign w:val="center"/>
          </w:tcPr>
          <w:p>
            <w:r>
              <w:rPr>
                <w:sz w:val="19"/>
              </w:rPr>
              <w:t>A r=0.9</w:t>
            </w:r>
          </w:p>
        </w:tc>
        <w:tc>
          <w:tcPr>
            <w:tcW w:type="dxa" w:w="1994"/>
            <w:vAlign w:val="center"/>
          </w:tcPr>
          <w:p>
            <w:r>
              <w:rPr>
                <w:sz w:val="19"/>
              </w:rPr>
              <w:t>Taplejung</w:t>
            </w:r>
          </w:p>
        </w:tc>
        <w:tc>
          <w:tcPr>
            <w:tcW w:type="dxa" w:w="1994"/>
            <w:vAlign w:val="center"/>
          </w:tcPr>
          <w:p>
            <w:r>
              <w:rPr>
                <w:sz w:val="19"/>
              </w:rPr>
              <w:t>0.646</w:t>
            </w:r>
          </w:p>
        </w:tc>
        <w:tc>
          <w:tcPr>
            <w:tcW w:type="dxa" w:w="1994"/>
            <w:vAlign w:val="center"/>
          </w:tcPr>
          <w:p>
            <w:r>
              <w:rPr>
                <w:sz w:val="19"/>
              </w:rPr>
              <w:t>0.516</w:t>
            </w:r>
          </w:p>
        </w:tc>
        <w:tc>
          <w:tcPr>
            <w:tcW w:type="dxa" w:w="1994"/>
            <w:vAlign w:val="center"/>
          </w:tcPr>
          <w:p>
            <w:r>
              <w:rPr>
                <w:sz w:val="19"/>
              </w:rPr>
              <w:t>-20.2 %</w:t>
            </w:r>
          </w:p>
        </w:tc>
      </w:tr>
      <w:tr>
        <w:tc>
          <w:tcPr>
            <w:tcW w:type="dxa" w:w="1994"/>
            <w:vAlign w:val="center"/>
          </w:tcPr>
          <w:p>
            <w:r>
              <w:rPr>
                <w:sz w:val="19"/>
              </w:rPr>
              <w:t>B r=0.9</w:t>
            </w:r>
          </w:p>
        </w:tc>
        <w:tc>
          <w:tcPr>
            <w:tcW w:type="dxa" w:w="1994"/>
            <w:vAlign w:val="center"/>
          </w:tcPr>
          <w:p>
            <w:r>
              <w:rPr>
                <w:sz w:val="19"/>
              </w:rPr>
              <w:t>Kathmandu</w:t>
            </w:r>
          </w:p>
        </w:tc>
        <w:tc>
          <w:tcPr>
            <w:tcW w:type="dxa" w:w="1994"/>
            <w:vAlign w:val="center"/>
          </w:tcPr>
          <w:p>
            <w:r>
              <w:rPr>
                <w:sz w:val="19"/>
              </w:rPr>
              <w:t>0.469</w:t>
            </w:r>
          </w:p>
        </w:tc>
        <w:tc>
          <w:tcPr>
            <w:tcW w:type="dxa" w:w="1994"/>
            <w:vAlign w:val="center"/>
          </w:tcPr>
          <w:p>
            <w:r>
              <w:rPr>
                <w:sz w:val="19"/>
              </w:rPr>
              <w:t>0.343</w:t>
            </w:r>
          </w:p>
        </w:tc>
        <w:tc>
          <w:tcPr>
            <w:tcW w:type="dxa" w:w="1994"/>
            <w:vAlign w:val="center"/>
          </w:tcPr>
          <w:p>
            <w:r>
              <w:rPr>
                <w:sz w:val="19"/>
              </w:rPr>
              <w:t>-27.0 %</w:t>
            </w:r>
          </w:p>
        </w:tc>
      </w:tr>
      <w:tr>
        <w:tc>
          <w:tcPr>
            <w:tcW w:type="dxa" w:w="1994"/>
            <w:vAlign w:val="center"/>
          </w:tcPr>
          <w:p>
            <w:r>
              <w:rPr>
                <w:sz w:val="19"/>
              </w:rPr>
              <w:t>B r=0.9</w:t>
            </w:r>
          </w:p>
        </w:tc>
        <w:tc>
          <w:tcPr>
            <w:tcW w:type="dxa" w:w="1994"/>
            <w:vAlign w:val="center"/>
          </w:tcPr>
          <w:p>
            <w:r>
              <w:rPr>
                <w:sz w:val="19"/>
              </w:rPr>
              <w:t>Biratnagar</w:t>
            </w:r>
          </w:p>
        </w:tc>
        <w:tc>
          <w:tcPr>
            <w:tcW w:type="dxa" w:w="1994"/>
            <w:vAlign w:val="center"/>
          </w:tcPr>
          <w:p>
            <w:r>
              <w:rPr>
                <w:sz w:val="19"/>
              </w:rPr>
              <w:t>0.423</w:t>
            </w:r>
          </w:p>
        </w:tc>
        <w:tc>
          <w:tcPr>
            <w:tcW w:type="dxa" w:w="1994"/>
            <w:vAlign w:val="center"/>
          </w:tcPr>
          <w:p>
            <w:r>
              <w:rPr>
                <w:sz w:val="19"/>
              </w:rPr>
              <w:t>0.333</w:t>
            </w:r>
          </w:p>
        </w:tc>
        <w:tc>
          <w:tcPr>
            <w:tcW w:type="dxa" w:w="1994"/>
            <w:vAlign w:val="center"/>
          </w:tcPr>
          <w:p>
            <w:r>
              <w:rPr>
                <w:sz w:val="19"/>
              </w:rPr>
              <w:t>-21.2 %</w:t>
            </w:r>
          </w:p>
        </w:tc>
      </w:tr>
      <w:tr>
        <w:tc>
          <w:tcPr>
            <w:tcW w:type="dxa" w:w="1994"/>
            <w:vAlign w:val="center"/>
          </w:tcPr>
          <w:p>
            <w:r>
              <w:rPr>
                <w:sz w:val="19"/>
              </w:rPr>
              <w:t>B r=0.9</w:t>
            </w:r>
          </w:p>
        </w:tc>
        <w:tc>
          <w:tcPr>
            <w:tcW w:type="dxa" w:w="1994"/>
            <w:vAlign w:val="center"/>
          </w:tcPr>
          <w:p>
            <w:r>
              <w:rPr>
                <w:sz w:val="19"/>
              </w:rPr>
              <w:t>Taplejung</w:t>
            </w:r>
          </w:p>
        </w:tc>
        <w:tc>
          <w:tcPr>
            <w:tcW w:type="dxa" w:w="1994"/>
            <w:vAlign w:val="center"/>
          </w:tcPr>
          <w:p>
            <w:r>
              <w:rPr>
                <w:sz w:val="19"/>
              </w:rPr>
              <w:t>0.416</w:t>
            </w:r>
          </w:p>
        </w:tc>
        <w:tc>
          <w:tcPr>
            <w:tcW w:type="dxa" w:w="1994"/>
            <w:vAlign w:val="center"/>
          </w:tcPr>
          <w:p>
            <w:r>
              <w:rPr>
                <w:sz w:val="19"/>
              </w:rPr>
              <w:t>0.285</w:t>
            </w:r>
          </w:p>
        </w:tc>
        <w:tc>
          <w:tcPr>
            <w:tcW w:type="dxa" w:w="1994"/>
            <w:vAlign w:val="center"/>
          </w:tcPr>
          <w:p>
            <w:r>
              <w:rPr>
                <w:sz w:val="19"/>
              </w:rPr>
              <w:t>-31.5 %</w:t>
            </w:r>
          </w:p>
        </w:tc>
      </w:tr>
      <w:tr>
        <w:tc>
          <w:tcPr>
            <w:tcW w:type="dxa" w:w="1994"/>
            <w:vAlign w:val="center"/>
          </w:tcPr>
          <w:p>
            <w:r>
              <w:rPr>
                <w:sz w:val="19"/>
              </w:rPr>
              <w:t>D1</w:t>
            </w:r>
          </w:p>
        </w:tc>
        <w:tc>
          <w:tcPr>
            <w:tcW w:type="dxa" w:w="1994"/>
            <w:vAlign w:val="center"/>
          </w:tcPr>
          <w:p>
            <w:r>
              <w:rPr>
                <w:sz w:val="19"/>
              </w:rPr>
              <w:t>Kathmandu</w:t>
            </w:r>
          </w:p>
        </w:tc>
        <w:tc>
          <w:tcPr>
            <w:tcW w:type="dxa" w:w="1994"/>
            <w:vAlign w:val="center"/>
          </w:tcPr>
          <w:p>
            <w:r>
              <w:rPr>
                <w:sz w:val="19"/>
              </w:rPr>
              <w:t>0.365</w:t>
            </w:r>
          </w:p>
        </w:tc>
        <w:tc>
          <w:tcPr>
            <w:tcW w:type="dxa" w:w="1994"/>
            <w:vAlign w:val="center"/>
          </w:tcPr>
          <w:p>
            <w:r>
              <w:rPr>
                <w:sz w:val="19"/>
              </w:rPr>
              <w:t>0.287</w:t>
            </w:r>
          </w:p>
        </w:tc>
        <w:tc>
          <w:tcPr>
            <w:tcW w:type="dxa" w:w="1994"/>
            <w:vAlign w:val="center"/>
          </w:tcPr>
          <w:p>
            <w:r>
              <w:rPr>
                <w:sz w:val="19"/>
              </w:rPr>
              <w:t>-21.4 %</w:t>
            </w:r>
          </w:p>
        </w:tc>
      </w:tr>
      <w:tr>
        <w:tc>
          <w:tcPr>
            <w:tcW w:type="dxa" w:w="1994"/>
            <w:vAlign w:val="center"/>
          </w:tcPr>
          <w:p>
            <w:r>
              <w:rPr>
                <w:sz w:val="19"/>
              </w:rPr>
              <w:t>D1</w:t>
            </w:r>
          </w:p>
        </w:tc>
        <w:tc>
          <w:tcPr>
            <w:tcW w:type="dxa" w:w="1994"/>
            <w:vAlign w:val="center"/>
          </w:tcPr>
          <w:p>
            <w:r>
              <w:rPr>
                <w:sz w:val="19"/>
              </w:rPr>
              <w:t>Biratnagar</w:t>
            </w:r>
          </w:p>
        </w:tc>
        <w:tc>
          <w:tcPr>
            <w:tcW w:type="dxa" w:w="1994"/>
            <w:vAlign w:val="center"/>
          </w:tcPr>
          <w:p>
            <w:r>
              <w:rPr>
                <w:sz w:val="19"/>
              </w:rPr>
              <w:t>0.293</w:t>
            </w:r>
          </w:p>
        </w:tc>
        <w:tc>
          <w:tcPr>
            <w:tcW w:type="dxa" w:w="1994"/>
            <w:vAlign w:val="center"/>
          </w:tcPr>
          <w:p>
            <w:r>
              <w:rPr>
                <w:sz w:val="19"/>
              </w:rPr>
              <w:t>0.238</w:t>
            </w:r>
          </w:p>
        </w:tc>
        <w:tc>
          <w:tcPr>
            <w:tcW w:type="dxa" w:w="1994"/>
            <w:vAlign w:val="center"/>
          </w:tcPr>
          <w:p>
            <w:r>
              <w:rPr>
                <w:sz w:val="19"/>
              </w:rPr>
              <w:t>-19.0 %</w:t>
            </w:r>
          </w:p>
        </w:tc>
      </w:tr>
      <w:tr>
        <w:tc>
          <w:tcPr>
            <w:tcW w:type="dxa" w:w="1994"/>
            <w:vAlign w:val="center"/>
          </w:tcPr>
          <w:p>
            <w:r>
              <w:rPr>
                <w:sz w:val="19"/>
              </w:rPr>
              <w:t>D1</w:t>
            </w:r>
          </w:p>
        </w:tc>
        <w:tc>
          <w:tcPr>
            <w:tcW w:type="dxa" w:w="1994"/>
            <w:vAlign w:val="center"/>
          </w:tcPr>
          <w:p>
            <w:r>
              <w:rPr>
                <w:sz w:val="19"/>
              </w:rPr>
              <w:t>Taplejung</w:t>
            </w:r>
          </w:p>
        </w:tc>
        <w:tc>
          <w:tcPr>
            <w:tcW w:type="dxa" w:w="1994"/>
            <w:vAlign w:val="center"/>
          </w:tcPr>
          <w:p>
            <w:r>
              <w:rPr>
                <w:sz w:val="19"/>
              </w:rPr>
              <w:t>0.310</w:t>
            </w:r>
          </w:p>
        </w:tc>
        <w:tc>
          <w:tcPr>
            <w:tcW w:type="dxa" w:w="1994"/>
            <w:vAlign w:val="center"/>
          </w:tcPr>
          <w:p>
            <w:r>
              <w:rPr>
                <w:sz w:val="19"/>
              </w:rPr>
              <w:t>0.248</w:t>
            </w:r>
          </w:p>
        </w:tc>
        <w:tc>
          <w:tcPr>
            <w:tcW w:type="dxa" w:w="1994"/>
            <w:vAlign w:val="center"/>
          </w:tcPr>
          <w:p>
            <w:r>
              <w:rPr>
                <w:sz w:val="19"/>
              </w:rPr>
              <w:t>-20.1 %</w:t>
            </w:r>
          </w:p>
        </w:tc>
      </w:tr>
      <w:tr>
        <w:tc>
          <w:tcPr>
            <w:tcW w:type="dxa" w:w="1994"/>
            <w:vAlign w:val="center"/>
          </w:tcPr>
          <w:p>
            <w:r>
              <w:rPr>
                <w:sz w:val="19"/>
              </w:rPr>
              <w:t>D2</w:t>
            </w:r>
          </w:p>
        </w:tc>
        <w:tc>
          <w:tcPr>
            <w:tcW w:type="dxa" w:w="1994"/>
            <w:vAlign w:val="center"/>
          </w:tcPr>
          <w:p>
            <w:r>
              <w:rPr>
                <w:sz w:val="19"/>
              </w:rPr>
              <w:t>Kathmandu</w:t>
            </w:r>
          </w:p>
        </w:tc>
        <w:tc>
          <w:tcPr>
            <w:tcW w:type="dxa" w:w="1994"/>
            <w:vAlign w:val="center"/>
          </w:tcPr>
          <w:p>
            <w:r>
              <w:rPr>
                <w:sz w:val="19"/>
              </w:rPr>
              <w:t>0.354</w:t>
            </w:r>
          </w:p>
        </w:tc>
        <w:tc>
          <w:tcPr>
            <w:tcW w:type="dxa" w:w="1994"/>
            <w:vAlign w:val="center"/>
          </w:tcPr>
          <w:p>
            <w:r>
              <w:rPr>
                <w:sz w:val="19"/>
              </w:rPr>
              <w:t>0.288</w:t>
            </w:r>
          </w:p>
        </w:tc>
        <w:tc>
          <w:tcPr>
            <w:tcW w:type="dxa" w:w="1994"/>
            <w:vAlign w:val="center"/>
          </w:tcPr>
          <w:p>
            <w:r>
              <w:rPr>
                <w:sz w:val="19"/>
              </w:rPr>
              <w:t>-18.4 %</w:t>
            </w:r>
          </w:p>
        </w:tc>
      </w:tr>
      <w:tr>
        <w:tc>
          <w:tcPr>
            <w:tcW w:type="dxa" w:w="1994"/>
            <w:vAlign w:val="center"/>
          </w:tcPr>
          <w:p>
            <w:r>
              <w:rPr>
                <w:sz w:val="19"/>
              </w:rPr>
              <w:t>D2</w:t>
            </w:r>
          </w:p>
        </w:tc>
        <w:tc>
          <w:tcPr>
            <w:tcW w:type="dxa" w:w="1994"/>
            <w:vAlign w:val="center"/>
          </w:tcPr>
          <w:p>
            <w:r>
              <w:rPr>
                <w:sz w:val="19"/>
              </w:rPr>
              <w:t>Biratnagar</w:t>
            </w:r>
          </w:p>
        </w:tc>
        <w:tc>
          <w:tcPr>
            <w:tcW w:type="dxa" w:w="1994"/>
            <w:vAlign w:val="center"/>
          </w:tcPr>
          <w:p>
            <w:r>
              <w:rPr>
                <w:sz w:val="19"/>
              </w:rPr>
              <w:t>0.282</w:t>
            </w:r>
          </w:p>
        </w:tc>
        <w:tc>
          <w:tcPr>
            <w:tcW w:type="dxa" w:w="1994"/>
            <w:vAlign w:val="center"/>
          </w:tcPr>
          <w:p>
            <w:r>
              <w:rPr>
                <w:sz w:val="19"/>
              </w:rPr>
              <w:t>0.238</w:t>
            </w:r>
          </w:p>
        </w:tc>
        <w:tc>
          <w:tcPr>
            <w:tcW w:type="dxa" w:w="1994"/>
            <w:vAlign w:val="center"/>
          </w:tcPr>
          <w:p>
            <w:r>
              <w:rPr>
                <w:sz w:val="19"/>
              </w:rPr>
              <w:t>-15.3 %</w:t>
            </w:r>
          </w:p>
        </w:tc>
      </w:tr>
      <w:tr>
        <w:tc>
          <w:tcPr>
            <w:tcW w:type="dxa" w:w="1994"/>
            <w:vAlign w:val="center"/>
          </w:tcPr>
          <w:p>
            <w:r>
              <w:rPr>
                <w:sz w:val="19"/>
              </w:rPr>
              <w:t>D2</w:t>
            </w:r>
          </w:p>
        </w:tc>
        <w:tc>
          <w:tcPr>
            <w:tcW w:type="dxa" w:w="1994"/>
            <w:vAlign w:val="center"/>
          </w:tcPr>
          <w:p>
            <w:r>
              <w:rPr>
                <w:sz w:val="19"/>
              </w:rPr>
              <w:t>Taplejung</w:t>
            </w:r>
          </w:p>
        </w:tc>
        <w:tc>
          <w:tcPr>
            <w:tcW w:type="dxa" w:w="1994"/>
            <w:vAlign w:val="center"/>
          </w:tcPr>
          <w:p>
            <w:r>
              <w:rPr>
                <w:sz w:val="19"/>
              </w:rPr>
              <w:t>0.299</w:t>
            </w:r>
          </w:p>
        </w:tc>
        <w:tc>
          <w:tcPr>
            <w:tcW w:type="dxa" w:w="1994"/>
            <w:vAlign w:val="center"/>
          </w:tcPr>
          <w:p>
            <w:r>
              <w:rPr>
                <w:sz w:val="19"/>
              </w:rPr>
              <w:t>0.250</w:t>
            </w:r>
          </w:p>
        </w:tc>
        <w:tc>
          <w:tcPr>
            <w:tcW w:type="dxa" w:w="1994"/>
            <w:vAlign w:val="center"/>
          </w:tcPr>
          <w:p>
            <w:r>
              <w:rPr>
                <w:sz w:val="19"/>
              </w:rPr>
              <w:t>-16.2 %</w:t>
            </w:r>
          </w:p>
        </w:tc>
      </w:tr>
      <w:tr>
        <w:tc>
          <w:tcPr>
            <w:tcW w:type="dxa" w:w="1994"/>
            <w:vAlign w:val="center"/>
          </w:tcPr>
          <w:p>
            <w:r>
              <w:rPr>
                <w:sz w:val="19"/>
              </w:rPr>
              <w:t>E1</w:t>
            </w:r>
          </w:p>
        </w:tc>
        <w:tc>
          <w:tcPr>
            <w:tcW w:type="dxa" w:w="1994"/>
            <w:vAlign w:val="center"/>
          </w:tcPr>
          <w:p>
            <w:r>
              <w:rPr>
                <w:sz w:val="19"/>
              </w:rPr>
              <w:t>Kathmandu</w:t>
            </w:r>
          </w:p>
        </w:tc>
        <w:tc>
          <w:tcPr>
            <w:tcW w:type="dxa" w:w="1994"/>
            <w:vAlign w:val="center"/>
          </w:tcPr>
          <w:p>
            <w:r>
              <w:rPr>
                <w:sz w:val="19"/>
              </w:rPr>
              <w:t>0.220</w:t>
            </w:r>
          </w:p>
        </w:tc>
        <w:tc>
          <w:tcPr>
            <w:tcW w:type="dxa" w:w="1994"/>
            <w:vAlign w:val="center"/>
          </w:tcPr>
          <w:p>
            <w:r>
              <w:rPr>
                <w:sz w:val="19"/>
              </w:rPr>
              <w:t>0.152</w:t>
            </w:r>
          </w:p>
        </w:tc>
        <w:tc>
          <w:tcPr>
            <w:tcW w:type="dxa" w:w="1994"/>
            <w:vAlign w:val="center"/>
          </w:tcPr>
          <w:p>
            <w:r>
              <w:rPr>
                <w:sz w:val="19"/>
              </w:rPr>
              <w:t>-30.8 %</w:t>
            </w:r>
          </w:p>
        </w:tc>
      </w:tr>
      <w:tr>
        <w:tc>
          <w:tcPr>
            <w:tcW w:type="dxa" w:w="1994"/>
            <w:vAlign w:val="center"/>
          </w:tcPr>
          <w:p>
            <w:r>
              <w:rPr>
                <w:sz w:val="19"/>
              </w:rPr>
              <w:t>E1</w:t>
            </w:r>
          </w:p>
        </w:tc>
        <w:tc>
          <w:tcPr>
            <w:tcW w:type="dxa" w:w="1994"/>
            <w:vAlign w:val="center"/>
          </w:tcPr>
          <w:p>
            <w:r>
              <w:rPr>
                <w:sz w:val="19"/>
              </w:rPr>
              <w:t>Biratnagar</w:t>
            </w:r>
          </w:p>
        </w:tc>
        <w:tc>
          <w:tcPr>
            <w:tcW w:type="dxa" w:w="1994"/>
            <w:vAlign w:val="center"/>
          </w:tcPr>
          <w:p>
            <w:r>
              <w:rPr>
                <w:sz w:val="19"/>
              </w:rPr>
              <w:t>0.141</w:t>
            </w:r>
          </w:p>
        </w:tc>
        <w:tc>
          <w:tcPr>
            <w:tcW w:type="dxa" w:w="1994"/>
            <w:vAlign w:val="center"/>
          </w:tcPr>
          <w:p>
            <w:r>
              <w:rPr>
                <w:sz w:val="19"/>
              </w:rPr>
              <w:t>0.101</w:t>
            </w:r>
          </w:p>
        </w:tc>
        <w:tc>
          <w:tcPr>
            <w:tcW w:type="dxa" w:w="1994"/>
            <w:vAlign w:val="center"/>
          </w:tcPr>
          <w:p>
            <w:r>
              <w:rPr>
                <w:sz w:val="19"/>
              </w:rPr>
              <w:t>-28.5 %</w:t>
            </w:r>
          </w:p>
        </w:tc>
      </w:tr>
      <w:tr>
        <w:tc>
          <w:tcPr>
            <w:tcW w:type="dxa" w:w="1994"/>
            <w:vAlign w:val="center"/>
          </w:tcPr>
          <w:p>
            <w:r>
              <w:rPr>
                <w:sz w:val="19"/>
              </w:rPr>
              <w:t>E1</w:t>
            </w:r>
          </w:p>
        </w:tc>
        <w:tc>
          <w:tcPr>
            <w:tcW w:type="dxa" w:w="1994"/>
            <w:vAlign w:val="center"/>
          </w:tcPr>
          <w:p>
            <w:r>
              <w:rPr>
                <w:sz w:val="19"/>
              </w:rPr>
              <w:t>Taplejung</w:t>
            </w:r>
          </w:p>
        </w:tc>
        <w:tc>
          <w:tcPr>
            <w:tcW w:type="dxa" w:w="1994"/>
            <w:vAlign w:val="center"/>
          </w:tcPr>
          <w:p>
            <w:r>
              <w:rPr>
                <w:sz w:val="19"/>
              </w:rPr>
              <w:t>0.178</w:t>
            </w:r>
          </w:p>
        </w:tc>
        <w:tc>
          <w:tcPr>
            <w:tcW w:type="dxa" w:w="1994"/>
            <w:vAlign w:val="center"/>
          </w:tcPr>
          <w:p>
            <w:r>
              <w:rPr>
                <w:sz w:val="19"/>
              </w:rPr>
              <w:t>0.133</w:t>
            </w:r>
          </w:p>
        </w:tc>
        <w:tc>
          <w:tcPr>
            <w:tcW w:type="dxa" w:w="1994"/>
            <w:vAlign w:val="center"/>
          </w:tcPr>
          <w:p>
            <w:r>
              <w:rPr>
                <w:sz w:val="19"/>
              </w:rPr>
              <w:t>-25.0 %</w:t>
            </w:r>
          </w:p>
        </w:tc>
      </w:tr>
      <w:tr>
        <w:tc>
          <w:tcPr>
            <w:tcW w:type="dxa" w:w="1994"/>
            <w:vAlign w:val="center"/>
          </w:tcPr>
          <w:p>
            <w:r>
              <w:rPr>
                <w:sz w:val="19"/>
              </w:rPr>
              <w:t>E2</w:t>
            </w:r>
          </w:p>
        </w:tc>
        <w:tc>
          <w:tcPr>
            <w:tcW w:type="dxa" w:w="1994"/>
            <w:vAlign w:val="center"/>
          </w:tcPr>
          <w:p>
            <w:r>
              <w:rPr>
                <w:sz w:val="19"/>
              </w:rPr>
              <w:t>Kathmandu</w:t>
            </w:r>
          </w:p>
        </w:tc>
        <w:tc>
          <w:tcPr>
            <w:tcW w:type="dxa" w:w="1994"/>
            <w:vAlign w:val="center"/>
          </w:tcPr>
          <w:p>
            <w:r>
              <w:rPr>
                <w:sz w:val="19"/>
              </w:rPr>
              <w:t>0.197</w:t>
            </w:r>
          </w:p>
        </w:tc>
        <w:tc>
          <w:tcPr>
            <w:tcW w:type="dxa" w:w="1994"/>
            <w:vAlign w:val="center"/>
          </w:tcPr>
          <w:p>
            <w:r>
              <w:rPr>
                <w:sz w:val="19"/>
              </w:rPr>
              <w:t>0.144</w:t>
            </w:r>
          </w:p>
        </w:tc>
        <w:tc>
          <w:tcPr>
            <w:tcW w:type="dxa" w:w="1994"/>
            <w:vAlign w:val="center"/>
          </w:tcPr>
          <w:p>
            <w:r>
              <w:rPr>
                <w:sz w:val="19"/>
              </w:rPr>
              <w:t>-26.9 %</w:t>
            </w:r>
          </w:p>
        </w:tc>
      </w:tr>
      <w:tr>
        <w:tc>
          <w:tcPr>
            <w:tcW w:type="dxa" w:w="1994"/>
            <w:vAlign w:val="center"/>
          </w:tcPr>
          <w:p>
            <w:r>
              <w:rPr>
                <w:sz w:val="19"/>
              </w:rPr>
              <w:t>E2</w:t>
            </w:r>
          </w:p>
        </w:tc>
        <w:tc>
          <w:tcPr>
            <w:tcW w:type="dxa" w:w="1994"/>
            <w:vAlign w:val="center"/>
          </w:tcPr>
          <w:p>
            <w:r>
              <w:rPr>
                <w:sz w:val="19"/>
              </w:rPr>
              <w:t>Biratnagar</w:t>
            </w:r>
          </w:p>
        </w:tc>
        <w:tc>
          <w:tcPr>
            <w:tcW w:type="dxa" w:w="1994"/>
            <w:vAlign w:val="center"/>
          </w:tcPr>
          <w:p>
            <w:r>
              <w:rPr>
                <w:sz w:val="19"/>
              </w:rPr>
              <w:t>0.129</w:t>
            </w:r>
          </w:p>
        </w:tc>
        <w:tc>
          <w:tcPr>
            <w:tcW w:type="dxa" w:w="1994"/>
            <w:vAlign w:val="center"/>
          </w:tcPr>
          <w:p>
            <w:r>
              <w:rPr>
                <w:sz w:val="19"/>
              </w:rPr>
              <w:t>0.097</w:t>
            </w:r>
          </w:p>
        </w:tc>
        <w:tc>
          <w:tcPr>
            <w:tcW w:type="dxa" w:w="1994"/>
            <w:vAlign w:val="center"/>
          </w:tcPr>
          <w:p>
            <w:r>
              <w:rPr>
                <w:sz w:val="19"/>
              </w:rPr>
              <w:t>-24.7 %</w:t>
            </w:r>
          </w:p>
        </w:tc>
      </w:tr>
      <w:tr>
        <w:tc>
          <w:tcPr>
            <w:tcW w:type="dxa" w:w="1994"/>
            <w:vAlign w:val="center"/>
          </w:tcPr>
          <w:p>
            <w:r>
              <w:rPr>
                <w:sz w:val="19"/>
              </w:rPr>
              <w:t>E2</w:t>
            </w:r>
          </w:p>
        </w:tc>
        <w:tc>
          <w:tcPr>
            <w:tcW w:type="dxa" w:w="1994"/>
            <w:vAlign w:val="center"/>
          </w:tcPr>
          <w:p>
            <w:r>
              <w:rPr>
                <w:sz w:val="19"/>
              </w:rPr>
              <w:t>Taplejung</w:t>
            </w:r>
          </w:p>
        </w:tc>
        <w:tc>
          <w:tcPr>
            <w:tcW w:type="dxa" w:w="1994"/>
            <w:vAlign w:val="center"/>
          </w:tcPr>
          <w:p>
            <w:r>
              <w:rPr>
                <w:sz w:val="19"/>
              </w:rPr>
              <w:t>0.163</w:t>
            </w:r>
          </w:p>
        </w:tc>
        <w:tc>
          <w:tcPr>
            <w:tcW w:type="dxa" w:w="1994"/>
            <w:vAlign w:val="center"/>
          </w:tcPr>
          <w:p>
            <w:r>
              <w:rPr>
                <w:sz w:val="19"/>
              </w:rPr>
              <w:t>0.129</w:t>
            </w:r>
          </w:p>
        </w:tc>
        <w:tc>
          <w:tcPr>
            <w:tcW w:type="dxa" w:w="1994"/>
            <w:vAlign w:val="center"/>
          </w:tcPr>
          <w:p>
            <w:r>
              <w:rPr>
                <w:sz w:val="19"/>
              </w:rPr>
              <w:t>-21.1 %</w:t>
            </w:r>
          </w:p>
        </w:tc>
      </w:tr>
    </w:tbl>
    <w:p>
      <w:r>
        <w:t>VPD bypass reduces SEC by 15-32 % depending on configuration and site. The gain is largest where the tail-end compressor duty is a large share of total W_comp (HP-only and HP-dominant configurations). In the E family the absolute SEC reduction is smaller because compressor work is already low, but the relative gain remains 27-30 %.</w:t>
      </w:r>
    </w:p>
    <w:p>
      <w:r>
        <w:t>Drying time extends by 5-10 % with bypass active (e.g., Config A r = 0.9 Kathmandu: 14.9 h -&gt; 15.6 h). The bypass trades wall-clock time for energy; it is worth activating whenever the energy reduction outweighs the time cost for the downstream operation (packaging, cooling).</w:t>
      </w:r>
    </w:p>
    <w:p>
      <w:pPr>
        <w:pStyle w:val="Heading2"/>
      </w:pPr>
      <w:r>
        <w:t>5.2  Takeaways</w:t>
      </w:r>
    </w:p>
    <w:p>
      <w:pPr>
        <w:pStyle w:val="ListBullet"/>
      </w:pPr>
      <w:r>
        <w:t>VPD bypass is a control-only modification with no hardware cost beyond a damper and sensor. It stacks multiplicatively with every other configuration improvement.</w:t>
      </w:r>
    </w:p>
    <w:p>
      <w:pPr>
        <w:pStyle w:val="ListBullet"/>
      </w:pPr>
      <w:r>
        <w:t>The largest absolute SEC wins are in HP-only (Config A) and HP+HRX (D1, D2) where compressor work dominates.</w:t>
      </w:r>
    </w:p>
    <w:p>
      <w:pPr>
        <w:pStyle w:val="ListBullet"/>
      </w:pPr>
      <w:r>
        <w:t>The largest relative wins are in the E family (see Section 6), where the bypass removes the last share of compressor work during solar-rich hours.</w:t>
      </w:r>
    </w:p>
    <w:p>
      <w:pPr>
        <w:pStyle w:val="Heading1"/>
      </w:pPr>
      <w:r>
        <w:t>Section 6  Config E: HRX + Solar + Heat Pump</w:t>
      </w:r>
    </w:p>
    <w:p>
      <w:r>
        <w:t>Config E combines the HRX recovery of Section 4 with the solar collector of Section 2. Three variants differ in the air-path topology:</w:t>
      </w:r>
    </w:p>
    <w:p>
      <w:pPr>
        <w:pStyle w:val="ListBullet"/>
      </w:pPr>
      <w:r>
        <w:t>E1: Ambient -&gt; HRX -&gt; Solar -&gt; Cond -&gt; Chamber. Evaporator on ambient. Exhaust -&gt; HRX -&gt; expelled.</w:t>
      </w:r>
    </w:p>
    <w:p>
      <w:pPr>
        <w:pStyle w:val="ListBullet"/>
      </w:pPr>
      <w:r>
        <w:t>E2: same supply path as E1; evaporator on iterated exhaust-ambient mix (like D2 vs. D1).</w:t>
      </w:r>
    </w:p>
    <w:p>
      <w:pPr>
        <w:pStyle w:val="ListBullet"/>
      </w:pPr>
      <w:r>
        <w:t>E3: Ambient -&gt; HRX -&gt; Cond -&gt; Solar -&gt; Chamber (solar after condenser). Solar-priority control: heat pump switches off when solar alone from HRX output meets T_set; otherwise HP provides partial lift with a variable T_cond.</w:t>
      </w:r>
    </w:p>
    <w:p>
      <w:pPr>
        <w:pStyle w:val="Heading2"/>
      </w:pPr>
      <w:r>
        <w:t>6.1  Open-loop baseline (r = 0, A_c = 10 m^2)</w:t>
      </w:r>
    </w:p>
    <w:p>
      <w:r>
        <w:t>Table 6.1  Config E annual-TMY performance, r = 0, A_c = 10 m^2.</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Config</w:t>
            </w:r>
          </w:p>
        </w:tc>
        <w:tc>
          <w:tcPr>
            <w:tcW w:type="dxa" w:w="1662"/>
          </w:tcPr>
          <w:p>
            <w:r>
              <w:rPr>
                <w:b/>
                <w:sz w:val="20"/>
              </w:rPr>
              <w:t>Site</w:t>
            </w:r>
          </w:p>
        </w:tc>
        <w:tc>
          <w:tcPr>
            <w:tcW w:type="dxa" w:w="1662"/>
          </w:tcPr>
          <w:p>
            <w:r>
              <w:rPr>
                <w:b/>
                <w:sz w:val="20"/>
              </w:rPr>
              <w:t>SEC</w:t>
            </w:r>
          </w:p>
        </w:tc>
        <w:tc>
          <w:tcPr>
            <w:tcW w:type="dxa" w:w="1662"/>
          </w:tcPr>
          <w:p>
            <w:r>
              <w:rPr>
                <w:b/>
                <w:sz w:val="20"/>
              </w:rPr>
              <w:t>Solar frac</w:t>
            </w:r>
          </w:p>
        </w:tc>
        <w:tc>
          <w:tcPr>
            <w:tcW w:type="dxa" w:w="1662"/>
          </w:tcPr>
          <w:p>
            <w:r>
              <w:rPr>
                <w:b/>
                <w:sz w:val="20"/>
              </w:rPr>
              <w:t>W_comp (kWh)</w:t>
            </w:r>
          </w:p>
        </w:tc>
        <w:tc>
          <w:tcPr>
            <w:tcW w:type="dxa" w:w="1662"/>
          </w:tcPr>
          <w:p>
            <w:r>
              <w:rPr>
                <w:b/>
                <w:sz w:val="20"/>
              </w:rPr>
              <w:t>Time (h)</w:t>
            </w:r>
          </w:p>
        </w:tc>
      </w:tr>
      <w:tr>
        <w:tc>
          <w:tcPr>
            <w:tcW w:type="dxa" w:w="1662"/>
            <w:vAlign w:val="center"/>
          </w:tcPr>
          <w:p>
            <w:r>
              <w:rPr>
                <w:sz w:val="19"/>
              </w:rPr>
              <w:t>E1</w:t>
            </w:r>
          </w:p>
        </w:tc>
        <w:tc>
          <w:tcPr>
            <w:tcW w:type="dxa" w:w="1662"/>
            <w:vAlign w:val="center"/>
          </w:tcPr>
          <w:p>
            <w:r>
              <w:rPr>
                <w:sz w:val="19"/>
              </w:rPr>
              <w:t>Kathmandu</w:t>
            </w:r>
          </w:p>
        </w:tc>
        <w:tc>
          <w:tcPr>
            <w:tcW w:type="dxa" w:w="1662"/>
            <w:vAlign w:val="center"/>
          </w:tcPr>
          <w:p>
            <w:r>
              <w:rPr>
                <w:sz w:val="19"/>
              </w:rPr>
              <w:t>0.220</w:t>
            </w:r>
          </w:p>
        </w:tc>
        <w:tc>
          <w:tcPr>
            <w:tcW w:type="dxa" w:w="1662"/>
            <w:vAlign w:val="center"/>
          </w:tcPr>
          <w:p>
            <w:r>
              <w:rPr>
                <w:sz w:val="19"/>
              </w:rPr>
              <w:t>0.708</w:t>
            </w:r>
          </w:p>
        </w:tc>
        <w:tc>
          <w:tcPr>
            <w:tcW w:type="dxa" w:w="1662"/>
            <w:vAlign w:val="center"/>
          </w:tcPr>
          <w:p>
            <w:r>
              <w:rPr>
                <w:sz w:val="19"/>
              </w:rPr>
              <w:t>3.91</w:t>
            </w:r>
          </w:p>
        </w:tc>
        <w:tc>
          <w:tcPr>
            <w:tcW w:type="dxa" w:w="1662"/>
            <w:vAlign w:val="center"/>
          </w:tcPr>
          <w:p>
            <w:r>
              <w:rPr>
                <w:sz w:val="19"/>
              </w:rPr>
              <w:t>13.85</w:t>
            </w:r>
          </w:p>
        </w:tc>
      </w:tr>
      <w:tr>
        <w:tc>
          <w:tcPr>
            <w:tcW w:type="dxa" w:w="1662"/>
            <w:vAlign w:val="center"/>
          </w:tcPr>
          <w:p>
            <w:r>
              <w:rPr>
                <w:sz w:val="19"/>
              </w:rPr>
              <w:t>E1</w:t>
            </w:r>
          </w:p>
        </w:tc>
        <w:tc>
          <w:tcPr>
            <w:tcW w:type="dxa" w:w="1662"/>
            <w:vAlign w:val="center"/>
          </w:tcPr>
          <w:p>
            <w:r>
              <w:rPr>
                <w:sz w:val="19"/>
              </w:rPr>
              <w:t>Biratnagar</w:t>
            </w:r>
          </w:p>
        </w:tc>
        <w:tc>
          <w:tcPr>
            <w:tcW w:type="dxa" w:w="1662"/>
            <w:vAlign w:val="center"/>
          </w:tcPr>
          <w:p>
            <w:r>
              <w:rPr>
                <w:sz w:val="19"/>
              </w:rPr>
              <w:t>0.141</w:t>
            </w:r>
          </w:p>
        </w:tc>
        <w:tc>
          <w:tcPr>
            <w:tcW w:type="dxa" w:w="1662"/>
            <w:vAlign w:val="center"/>
          </w:tcPr>
          <w:p>
            <w:r>
              <w:rPr>
                <w:sz w:val="19"/>
              </w:rPr>
              <w:t>0.872</w:t>
            </w:r>
          </w:p>
        </w:tc>
        <w:tc>
          <w:tcPr>
            <w:tcW w:type="dxa" w:w="1662"/>
            <w:vAlign w:val="center"/>
          </w:tcPr>
          <w:p>
            <w:r>
              <w:rPr>
                <w:sz w:val="19"/>
              </w:rPr>
              <w:t>2.36</w:t>
            </w:r>
          </w:p>
        </w:tc>
        <w:tc>
          <w:tcPr>
            <w:tcW w:type="dxa" w:w="1662"/>
            <w:vAlign w:val="center"/>
          </w:tcPr>
          <w:p>
            <w:r>
              <w:rPr>
                <w:sz w:val="19"/>
              </w:rPr>
              <w:t>14.45</w:t>
            </w:r>
          </w:p>
        </w:tc>
      </w:tr>
      <w:tr>
        <w:tc>
          <w:tcPr>
            <w:tcW w:type="dxa" w:w="1662"/>
            <w:vAlign w:val="center"/>
          </w:tcPr>
          <w:p>
            <w:r>
              <w:rPr>
                <w:sz w:val="19"/>
              </w:rPr>
              <w:t>E1</w:t>
            </w:r>
          </w:p>
        </w:tc>
        <w:tc>
          <w:tcPr>
            <w:tcW w:type="dxa" w:w="1662"/>
            <w:vAlign w:val="center"/>
          </w:tcPr>
          <w:p>
            <w:r>
              <w:rPr>
                <w:sz w:val="19"/>
              </w:rPr>
              <w:t>Taplejung</w:t>
            </w:r>
          </w:p>
        </w:tc>
        <w:tc>
          <w:tcPr>
            <w:tcW w:type="dxa" w:w="1662"/>
            <w:vAlign w:val="center"/>
          </w:tcPr>
          <w:p>
            <w:r>
              <w:rPr>
                <w:sz w:val="19"/>
              </w:rPr>
              <w:t>0.178</w:t>
            </w:r>
          </w:p>
        </w:tc>
        <w:tc>
          <w:tcPr>
            <w:tcW w:type="dxa" w:w="1662"/>
            <w:vAlign w:val="center"/>
          </w:tcPr>
          <w:p>
            <w:r>
              <w:rPr>
                <w:sz w:val="19"/>
              </w:rPr>
              <w:t>0.781</w:t>
            </w:r>
          </w:p>
        </w:tc>
        <w:tc>
          <w:tcPr>
            <w:tcW w:type="dxa" w:w="1662"/>
            <w:vAlign w:val="center"/>
          </w:tcPr>
          <w:p>
            <w:r>
              <w:rPr>
                <w:sz w:val="19"/>
              </w:rPr>
              <w:t>3.10</w:t>
            </w:r>
          </w:p>
        </w:tc>
        <w:tc>
          <w:tcPr>
            <w:tcW w:type="dxa" w:w="1662"/>
            <w:vAlign w:val="center"/>
          </w:tcPr>
          <w:p>
            <w:r>
              <w:rPr>
                <w:sz w:val="19"/>
              </w:rPr>
              <w:t>13.97</w:t>
            </w:r>
          </w:p>
        </w:tc>
      </w:tr>
      <w:tr>
        <w:tc>
          <w:tcPr>
            <w:tcW w:type="dxa" w:w="1662"/>
            <w:vAlign w:val="center"/>
          </w:tcPr>
          <w:p>
            <w:r>
              <w:rPr>
                <w:sz w:val="19"/>
              </w:rPr>
              <w:t>E2</w:t>
            </w:r>
          </w:p>
        </w:tc>
        <w:tc>
          <w:tcPr>
            <w:tcW w:type="dxa" w:w="1662"/>
            <w:vAlign w:val="center"/>
          </w:tcPr>
          <w:p>
            <w:r>
              <w:rPr>
                <w:sz w:val="19"/>
              </w:rPr>
              <w:t>Kathmandu</w:t>
            </w:r>
          </w:p>
        </w:tc>
        <w:tc>
          <w:tcPr>
            <w:tcW w:type="dxa" w:w="1662"/>
            <w:vAlign w:val="center"/>
          </w:tcPr>
          <w:p>
            <w:r>
              <w:rPr>
                <w:sz w:val="19"/>
              </w:rPr>
              <w:t>0.197</w:t>
            </w:r>
          </w:p>
        </w:tc>
        <w:tc>
          <w:tcPr>
            <w:tcW w:type="dxa" w:w="1662"/>
            <w:vAlign w:val="center"/>
          </w:tcPr>
          <w:p>
            <w:r>
              <w:rPr>
                <w:sz w:val="19"/>
              </w:rPr>
              <w:t>0.730</w:t>
            </w:r>
          </w:p>
        </w:tc>
        <w:tc>
          <w:tcPr>
            <w:tcW w:type="dxa" w:w="1662"/>
            <w:vAlign w:val="center"/>
          </w:tcPr>
          <w:p>
            <w:r>
              <w:rPr>
                <w:sz w:val="19"/>
              </w:rPr>
              <w:t>3.47</w:t>
            </w:r>
          </w:p>
        </w:tc>
        <w:tc>
          <w:tcPr>
            <w:tcW w:type="dxa" w:w="1662"/>
            <w:vAlign w:val="center"/>
          </w:tcPr>
          <w:p>
            <w:r>
              <w:rPr>
                <w:sz w:val="19"/>
              </w:rPr>
              <w:t>13.85</w:t>
            </w:r>
          </w:p>
        </w:tc>
      </w:tr>
      <w:tr>
        <w:tc>
          <w:tcPr>
            <w:tcW w:type="dxa" w:w="1662"/>
            <w:vAlign w:val="center"/>
          </w:tcPr>
          <w:p>
            <w:r>
              <w:rPr>
                <w:sz w:val="19"/>
              </w:rPr>
              <w:t>E2</w:t>
            </w:r>
          </w:p>
        </w:tc>
        <w:tc>
          <w:tcPr>
            <w:tcW w:type="dxa" w:w="1662"/>
            <w:vAlign w:val="center"/>
          </w:tcPr>
          <w:p>
            <w:r>
              <w:rPr>
                <w:sz w:val="19"/>
              </w:rPr>
              <w:t>Biratnagar</w:t>
            </w:r>
          </w:p>
        </w:tc>
        <w:tc>
          <w:tcPr>
            <w:tcW w:type="dxa" w:w="1662"/>
            <w:vAlign w:val="center"/>
          </w:tcPr>
          <w:p>
            <w:r>
              <w:rPr>
                <w:sz w:val="19"/>
              </w:rPr>
              <w:t>0.129</w:t>
            </w:r>
          </w:p>
        </w:tc>
        <w:tc>
          <w:tcPr>
            <w:tcW w:type="dxa" w:w="1662"/>
            <w:vAlign w:val="center"/>
          </w:tcPr>
          <w:p>
            <w:r>
              <w:rPr>
                <w:sz w:val="19"/>
              </w:rPr>
              <w:t>0.881</w:t>
            </w:r>
          </w:p>
        </w:tc>
        <w:tc>
          <w:tcPr>
            <w:tcW w:type="dxa" w:w="1662"/>
            <w:vAlign w:val="center"/>
          </w:tcPr>
          <w:p>
            <w:r>
              <w:rPr>
                <w:sz w:val="19"/>
              </w:rPr>
              <w:t>2.13</w:t>
            </w:r>
          </w:p>
        </w:tc>
        <w:tc>
          <w:tcPr>
            <w:tcW w:type="dxa" w:w="1662"/>
            <w:vAlign w:val="center"/>
          </w:tcPr>
          <w:p>
            <w:r>
              <w:rPr>
                <w:sz w:val="19"/>
              </w:rPr>
              <w:t>14.45</w:t>
            </w:r>
          </w:p>
        </w:tc>
      </w:tr>
      <w:tr>
        <w:tc>
          <w:tcPr>
            <w:tcW w:type="dxa" w:w="1662"/>
            <w:vAlign w:val="center"/>
          </w:tcPr>
          <w:p>
            <w:r>
              <w:rPr>
                <w:sz w:val="19"/>
              </w:rPr>
              <w:t>E2</w:t>
            </w:r>
          </w:p>
        </w:tc>
        <w:tc>
          <w:tcPr>
            <w:tcW w:type="dxa" w:w="1662"/>
            <w:vAlign w:val="center"/>
          </w:tcPr>
          <w:p>
            <w:r>
              <w:rPr>
                <w:sz w:val="19"/>
              </w:rPr>
              <w:t>Taplejung</w:t>
            </w:r>
          </w:p>
        </w:tc>
        <w:tc>
          <w:tcPr>
            <w:tcW w:type="dxa" w:w="1662"/>
            <w:vAlign w:val="center"/>
          </w:tcPr>
          <w:p>
            <w:r>
              <w:rPr>
                <w:sz w:val="19"/>
              </w:rPr>
              <w:t>0.163</w:t>
            </w:r>
          </w:p>
        </w:tc>
        <w:tc>
          <w:tcPr>
            <w:tcW w:type="dxa" w:w="1662"/>
            <w:vAlign w:val="center"/>
          </w:tcPr>
          <w:p>
            <w:r>
              <w:rPr>
                <w:sz w:val="19"/>
              </w:rPr>
              <w:t>0.796</w:t>
            </w:r>
          </w:p>
        </w:tc>
        <w:tc>
          <w:tcPr>
            <w:tcW w:type="dxa" w:w="1662"/>
            <w:vAlign w:val="center"/>
          </w:tcPr>
          <w:p>
            <w:r>
              <w:rPr>
                <w:sz w:val="19"/>
              </w:rPr>
              <w:t>2.82</w:t>
            </w:r>
          </w:p>
        </w:tc>
        <w:tc>
          <w:tcPr>
            <w:tcW w:type="dxa" w:w="1662"/>
            <w:vAlign w:val="center"/>
          </w:tcPr>
          <w:p>
            <w:r>
              <w:rPr>
                <w:sz w:val="19"/>
              </w:rPr>
              <w:t>13.97</w:t>
            </w:r>
          </w:p>
        </w:tc>
      </w:tr>
      <w:tr>
        <w:tc>
          <w:tcPr>
            <w:tcW w:type="dxa" w:w="1662"/>
            <w:vAlign w:val="center"/>
          </w:tcPr>
          <w:p>
            <w:r>
              <w:rPr>
                <w:sz w:val="19"/>
              </w:rPr>
              <w:t>E3</w:t>
            </w:r>
          </w:p>
        </w:tc>
        <w:tc>
          <w:tcPr>
            <w:tcW w:type="dxa" w:w="1662"/>
            <w:vAlign w:val="center"/>
          </w:tcPr>
          <w:p>
            <w:r>
              <w:rPr>
                <w:sz w:val="19"/>
              </w:rPr>
              <w:t>Kathmandu</w:t>
            </w:r>
          </w:p>
        </w:tc>
        <w:tc>
          <w:tcPr>
            <w:tcW w:type="dxa" w:w="1662"/>
            <w:vAlign w:val="center"/>
          </w:tcPr>
          <w:p>
            <w:r>
              <w:rPr>
                <w:sz w:val="19"/>
              </w:rPr>
              <w:t>0.217</w:t>
            </w:r>
          </w:p>
        </w:tc>
        <w:tc>
          <w:tcPr>
            <w:tcW w:type="dxa" w:w="1662"/>
            <w:vAlign w:val="center"/>
          </w:tcPr>
          <w:p>
            <w:r>
              <w:rPr>
                <w:sz w:val="19"/>
              </w:rPr>
              <w:t>0.666</w:t>
            </w:r>
          </w:p>
        </w:tc>
        <w:tc>
          <w:tcPr>
            <w:tcW w:type="dxa" w:w="1662"/>
            <w:vAlign w:val="center"/>
          </w:tcPr>
          <w:p>
            <w:r>
              <w:rPr>
                <w:sz w:val="19"/>
              </w:rPr>
              <w:t>3.85</w:t>
            </w:r>
          </w:p>
        </w:tc>
        <w:tc>
          <w:tcPr>
            <w:tcW w:type="dxa" w:w="1662"/>
            <w:vAlign w:val="center"/>
          </w:tcPr>
          <w:p>
            <w:r>
              <w:rPr>
                <w:sz w:val="19"/>
              </w:rPr>
              <w:t>13.85</w:t>
            </w:r>
          </w:p>
        </w:tc>
      </w:tr>
      <w:tr>
        <w:tc>
          <w:tcPr>
            <w:tcW w:type="dxa" w:w="1662"/>
            <w:vAlign w:val="center"/>
          </w:tcPr>
          <w:p>
            <w:r>
              <w:rPr>
                <w:sz w:val="19"/>
              </w:rPr>
              <w:t>E3</w:t>
            </w:r>
          </w:p>
        </w:tc>
        <w:tc>
          <w:tcPr>
            <w:tcW w:type="dxa" w:w="1662"/>
            <w:vAlign w:val="center"/>
          </w:tcPr>
          <w:p>
            <w:r>
              <w:rPr>
                <w:sz w:val="19"/>
              </w:rPr>
              <w:t>Biratnagar</w:t>
            </w:r>
          </w:p>
        </w:tc>
        <w:tc>
          <w:tcPr>
            <w:tcW w:type="dxa" w:w="1662"/>
            <w:vAlign w:val="center"/>
          </w:tcPr>
          <w:p>
            <w:r>
              <w:rPr>
                <w:sz w:val="19"/>
              </w:rPr>
              <w:t>0.137</w:t>
            </w:r>
          </w:p>
        </w:tc>
        <w:tc>
          <w:tcPr>
            <w:tcW w:type="dxa" w:w="1662"/>
            <w:vAlign w:val="center"/>
          </w:tcPr>
          <w:p>
            <w:r>
              <w:rPr>
                <w:sz w:val="19"/>
              </w:rPr>
              <w:t>0.870</w:t>
            </w:r>
          </w:p>
        </w:tc>
        <w:tc>
          <w:tcPr>
            <w:tcW w:type="dxa" w:w="1662"/>
            <w:vAlign w:val="center"/>
          </w:tcPr>
          <w:p>
            <w:r>
              <w:rPr>
                <w:sz w:val="19"/>
              </w:rPr>
              <w:t>2.28</w:t>
            </w:r>
          </w:p>
        </w:tc>
        <w:tc>
          <w:tcPr>
            <w:tcW w:type="dxa" w:w="1662"/>
            <w:vAlign w:val="center"/>
          </w:tcPr>
          <w:p>
            <w:r>
              <w:rPr>
                <w:sz w:val="19"/>
              </w:rPr>
              <w:t>14.45</w:t>
            </w:r>
          </w:p>
        </w:tc>
      </w:tr>
      <w:tr>
        <w:tc>
          <w:tcPr>
            <w:tcW w:type="dxa" w:w="1662"/>
            <w:vAlign w:val="center"/>
          </w:tcPr>
          <w:p>
            <w:r>
              <w:rPr>
                <w:sz w:val="19"/>
              </w:rPr>
              <w:t>E3</w:t>
            </w:r>
          </w:p>
        </w:tc>
        <w:tc>
          <w:tcPr>
            <w:tcW w:type="dxa" w:w="1662"/>
            <w:vAlign w:val="center"/>
          </w:tcPr>
          <w:p>
            <w:r>
              <w:rPr>
                <w:sz w:val="19"/>
              </w:rPr>
              <w:t>Taplejung</w:t>
            </w:r>
          </w:p>
        </w:tc>
        <w:tc>
          <w:tcPr>
            <w:tcW w:type="dxa" w:w="1662"/>
            <w:vAlign w:val="center"/>
          </w:tcPr>
          <w:p>
            <w:r>
              <w:rPr>
                <w:sz w:val="19"/>
              </w:rPr>
              <w:t>0.176</w:t>
            </w:r>
          </w:p>
        </w:tc>
        <w:tc>
          <w:tcPr>
            <w:tcW w:type="dxa" w:w="1662"/>
            <w:vAlign w:val="center"/>
          </w:tcPr>
          <w:p>
            <w:r>
              <w:rPr>
                <w:sz w:val="19"/>
              </w:rPr>
              <w:t>0.767</w:t>
            </w:r>
          </w:p>
        </w:tc>
        <w:tc>
          <w:tcPr>
            <w:tcW w:type="dxa" w:w="1662"/>
            <w:vAlign w:val="center"/>
          </w:tcPr>
          <w:p>
            <w:r>
              <w:rPr>
                <w:sz w:val="19"/>
              </w:rPr>
              <w:t>3.06</w:t>
            </w:r>
          </w:p>
        </w:tc>
        <w:tc>
          <w:tcPr>
            <w:tcW w:type="dxa" w:w="1662"/>
            <w:vAlign w:val="center"/>
          </w:tcPr>
          <w:p>
            <w:r>
              <w:rPr>
                <w:sz w:val="19"/>
              </w:rPr>
              <w:t>13.97</w:t>
            </w:r>
          </w:p>
        </w:tc>
      </w:tr>
    </w:tbl>
    <w:p>
      <w:r>
        <w:t>E2 is the strongest variant at every site: 0.129 Biratnagar, 0.163 Taplejung, 0.197 Kathmandu. E1 trails E2 by 6-10 % and E3 matches E1. Solar fractions reach 0.73-0.88. Compared to Config A these are 74-76 % SEC reductions on annual TMY.</w:t>
      </w:r>
    </w:p>
    <w:p>
      <w:r>
        <w:t>E2's advantage over E1 comes from the iterative evaporator mix: warming the evap supply raises T_evap_sat and lowers pressure ratio, which shows up as lower W_comp at the same thermal load. E3's solar-after-condenser placement gives a comparable SEC to E1 but with a lower solar fraction, because in hours when solar alone meets T_set the HP idles and the HRX benefit is the dominant contributor.</w:t>
      </w:r>
    </w:p>
    <w:p>
      <w:pPr>
        <w:pStyle w:val="Heading2"/>
      </w:pPr>
      <w:r>
        <w:t>6.2  E2 collector-area sweep</w:t>
      </w:r>
    </w:p>
    <w:p>
      <w:r>
        <w:t>Table 6.2  E2 SEC vs. A_c, Kathmandu annual.</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tcPr>
          <w:p>
            <w:r>
              <w:rPr>
                <w:b/>
                <w:sz w:val="20"/>
              </w:rPr>
              <w:t>A_c (m^2)</w:t>
            </w:r>
          </w:p>
        </w:tc>
        <w:tc>
          <w:tcPr>
            <w:tcW w:type="dxa" w:w="3324"/>
          </w:tcPr>
          <w:p>
            <w:r>
              <w:rPr>
                <w:b/>
                <w:sz w:val="20"/>
              </w:rPr>
              <w:t>SEC (kWh/kg)</w:t>
            </w:r>
          </w:p>
        </w:tc>
        <w:tc>
          <w:tcPr>
            <w:tcW w:type="dxa" w:w="3324"/>
          </w:tcPr>
          <w:p>
            <w:r>
              <w:rPr>
                <w:b/>
                <w:sz w:val="20"/>
              </w:rPr>
              <w:t>Solar frac</w:t>
            </w:r>
          </w:p>
        </w:tc>
      </w:tr>
      <w:tr>
        <w:tc>
          <w:tcPr>
            <w:tcW w:type="dxa" w:w="3324"/>
            <w:vAlign w:val="center"/>
          </w:tcPr>
          <w:p>
            <w:r>
              <w:rPr>
                <w:sz w:val="19"/>
              </w:rPr>
              <w:t>2.0</w:t>
            </w:r>
          </w:p>
        </w:tc>
        <w:tc>
          <w:tcPr>
            <w:tcW w:type="dxa" w:w="3324"/>
            <w:vAlign w:val="center"/>
          </w:tcPr>
          <w:p>
            <w:r>
              <w:rPr>
                <w:sz w:val="19"/>
              </w:rPr>
              <w:t>0.291</w:t>
            </w:r>
          </w:p>
        </w:tc>
        <w:tc>
          <w:tcPr>
            <w:tcW w:type="dxa" w:w="3324"/>
            <w:vAlign w:val="center"/>
          </w:tcPr>
          <w:p>
            <w:r>
              <w:rPr>
                <w:sz w:val="19"/>
              </w:rPr>
              <w:t>0.304</w:t>
            </w:r>
          </w:p>
        </w:tc>
      </w:tr>
      <w:tr>
        <w:tc>
          <w:tcPr>
            <w:tcW w:type="dxa" w:w="3324"/>
            <w:vAlign w:val="center"/>
          </w:tcPr>
          <w:p>
            <w:r>
              <w:rPr>
                <w:sz w:val="19"/>
              </w:rPr>
              <w:t>4.0</w:t>
            </w:r>
          </w:p>
        </w:tc>
        <w:tc>
          <w:tcPr>
            <w:tcW w:type="dxa" w:w="3324"/>
            <w:vAlign w:val="center"/>
          </w:tcPr>
          <w:p>
            <w:r>
              <w:rPr>
                <w:sz w:val="19"/>
              </w:rPr>
              <w:t>0.260</w:t>
            </w:r>
          </w:p>
        </w:tc>
        <w:tc>
          <w:tcPr>
            <w:tcW w:type="dxa" w:w="3324"/>
            <w:vAlign w:val="center"/>
          </w:tcPr>
          <w:p>
            <w:r>
              <w:rPr>
                <w:sz w:val="19"/>
              </w:rPr>
              <w:t>0.483</w:t>
            </w:r>
          </w:p>
        </w:tc>
      </w:tr>
      <w:tr>
        <w:tc>
          <w:tcPr>
            <w:tcW w:type="dxa" w:w="3324"/>
            <w:vAlign w:val="center"/>
          </w:tcPr>
          <w:p>
            <w:r>
              <w:rPr>
                <w:sz w:val="19"/>
              </w:rPr>
              <w:t>5.0</w:t>
            </w:r>
          </w:p>
        </w:tc>
        <w:tc>
          <w:tcPr>
            <w:tcW w:type="dxa" w:w="3324"/>
            <w:vAlign w:val="center"/>
          </w:tcPr>
          <w:p>
            <w:r>
              <w:rPr>
                <w:sz w:val="19"/>
              </w:rPr>
              <w:t>0.246</w:t>
            </w:r>
          </w:p>
        </w:tc>
        <w:tc>
          <w:tcPr>
            <w:tcW w:type="dxa" w:w="3324"/>
            <w:vAlign w:val="center"/>
          </w:tcPr>
          <w:p>
            <w:r>
              <w:rPr>
                <w:sz w:val="19"/>
              </w:rPr>
              <w:t>0.546</w:t>
            </w:r>
          </w:p>
        </w:tc>
      </w:tr>
      <w:tr>
        <w:tc>
          <w:tcPr>
            <w:tcW w:type="dxa" w:w="3324"/>
            <w:vAlign w:val="center"/>
          </w:tcPr>
          <w:p>
            <w:r>
              <w:rPr>
                <w:sz w:val="19"/>
              </w:rPr>
              <w:t>6.0</w:t>
            </w:r>
          </w:p>
        </w:tc>
        <w:tc>
          <w:tcPr>
            <w:tcW w:type="dxa" w:w="3324"/>
            <w:vAlign w:val="center"/>
          </w:tcPr>
          <w:p>
            <w:r>
              <w:rPr>
                <w:sz w:val="19"/>
              </w:rPr>
              <w:t>0.234</w:t>
            </w:r>
          </w:p>
        </w:tc>
        <w:tc>
          <w:tcPr>
            <w:tcW w:type="dxa" w:w="3324"/>
            <w:vAlign w:val="center"/>
          </w:tcPr>
          <w:p>
            <w:r>
              <w:rPr>
                <w:sz w:val="19"/>
              </w:rPr>
              <w:t>0.599</w:t>
            </w:r>
          </w:p>
        </w:tc>
      </w:tr>
      <w:tr>
        <w:tc>
          <w:tcPr>
            <w:tcW w:type="dxa" w:w="3324"/>
            <w:vAlign w:val="center"/>
          </w:tcPr>
          <w:p>
            <w:r>
              <w:rPr>
                <w:sz w:val="19"/>
              </w:rPr>
              <w:t>8.0</w:t>
            </w:r>
          </w:p>
        </w:tc>
        <w:tc>
          <w:tcPr>
            <w:tcW w:type="dxa" w:w="3324"/>
            <w:vAlign w:val="center"/>
          </w:tcPr>
          <w:p>
            <w:r>
              <w:rPr>
                <w:sz w:val="19"/>
              </w:rPr>
              <w:t>0.211</w:t>
            </w:r>
          </w:p>
        </w:tc>
        <w:tc>
          <w:tcPr>
            <w:tcW w:type="dxa" w:w="3324"/>
            <w:vAlign w:val="center"/>
          </w:tcPr>
          <w:p>
            <w:r>
              <w:rPr>
                <w:sz w:val="19"/>
              </w:rPr>
              <w:t>0.679</w:t>
            </w:r>
          </w:p>
        </w:tc>
      </w:tr>
      <w:tr>
        <w:tc>
          <w:tcPr>
            <w:tcW w:type="dxa" w:w="3324"/>
            <w:vAlign w:val="center"/>
          </w:tcPr>
          <w:p>
            <w:r>
              <w:rPr>
                <w:sz w:val="19"/>
              </w:rPr>
              <w:t>10.0</w:t>
            </w:r>
          </w:p>
        </w:tc>
        <w:tc>
          <w:tcPr>
            <w:tcW w:type="dxa" w:w="3324"/>
            <w:vAlign w:val="center"/>
          </w:tcPr>
          <w:p>
            <w:r>
              <w:rPr>
                <w:sz w:val="19"/>
              </w:rPr>
              <w:t>0.197</w:t>
            </w:r>
          </w:p>
        </w:tc>
        <w:tc>
          <w:tcPr>
            <w:tcW w:type="dxa" w:w="3324"/>
            <w:vAlign w:val="center"/>
          </w:tcPr>
          <w:p>
            <w:r>
              <w:rPr>
                <w:sz w:val="19"/>
              </w:rPr>
              <w:t>0.730</w:t>
            </w:r>
          </w:p>
        </w:tc>
      </w:tr>
      <w:tr>
        <w:tc>
          <w:tcPr>
            <w:tcW w:type="dxa" w:w="3324"/>
            <w:vAlign w:val="center"/>
          </w:tcPr>
          <w:p>
            <w:r>
              <w:rPr>
                <w:sz w:val="19"/>
              </w:rPr>
              <w:t>15.0</w:t>
            </w:r>
          </w:p>
        </w:tc>
        <w:tc>
          <w:tcPr>
            <w:tcW w:type="dxa" w:w="3324"/>
            <w:vAlign w:val="center"/>
          </w:tcPr>
          <w:p>
            <w:r>
              <w:rPr>
                <w:sz w:val="19"/>
              </w:rPr>
              <w:t>0.176</w:t>
            </w:r>
          </w:p>
        </w:tc>
        <w:tc>
          <w:tcPr>
            <w:tcW w:type="dxa" w:w="3324"/>
            <w:vAlign w:val="center"/>
          </w:tcPr>
          <w:p>
            <w:r>
              <w:rPr>
                <w:sz w:val="19"/>
              </w:rPr>
              <w:t>0.804</w:t>
            </w:r>
          </w:p>
        </w:tc>
      </w:tr>
      <w:tr>
        <w:tc>
          <w:tcPr>
            <w:tcW w:type="dxa" w:w="3324"/>
            <w:vAlign w:val="center"/>
          </w:tcPr>
          <w:p>
            <w:r>
              <w:rPr>
                <w:sz w:val="19"/>
              </w:rPr>
              <w:t>20.0</w:t>
            </w:r>
          </w:p>
        </w:tc>
        <w:tc>
          <w:tcPr>
            <w:tcW w:type="dxa" w:w="3324"/>
            <w:vAlign w:val="center"/>
          </w:tcPr>
          <w:p>
            <w:r>
              <w:rPr>
                <w:sz w:val="19"/>
              </w:rPr>
              <w:t>0.168</w:t>
            </w:r>
          </w:p>
        </w:tc>
        <w:tc>
          <w:tcPr>
            <w:tcW w:type="dxa" w:w="3324"/>
            <w:vAlign w:val="center"/>
          </w:tcPr>
          <w:p>
            <w:r>
              <w:rPr>
                <w:sz w:val="19"/>
              </w:rPr>
              <w:t>0.838</w:t>
            </w:r>
          </w:p>
        </w:tc>
      </w:tr>
    </w:tbl>
    <w:p>
      <w:r>
        <w:t>Table 6.3  E2 SEC vs. A_c, Biratnagar annual.</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tcPr>
          <w:p>
            <w:r>
              <w:rPr>
                <w:b/>
                <w:sz w:val="20"/>
              </w:rPr>
              <w:t>A_c (m^2)</w:t>
            </w:r>
          </w:p>
        </w:tc>
        <w:tc>
          <w:tcPr>
            <w:tcW w:type="dxa" w:w="3324"/>
          </w:tcPr>
          <w:p>
            <w:r>
              <w:rPr>
                <w:b/>
                <w:sz w:val="20"/>
              </w:rPr>
              <w:t>SEC (kWh/kg)</w:t>
            </w:r>
          </w:p>
        </w:tc>
        <w:tc>
          <w:tcPr>
            <w:tcW w:type="dxa" w:w="3324"/>
          </w:tcPr>
          <w:p>
            <w:r>
              <w:rPr>
                <w:b/>
                <w:sz w:val="20"/>
              </w:rPr>
              <w:t>Solar frac</w:t>
            </w:r>
          </w:p>
        </w:tc>
      </w:tr>
      <w:tr>
        <w:tc>
          <w:tcPr>
            <w:tcW w:type="dxa" w:w="3324"/>
            <w:vAlign w:val="center"/>
          </w:tcPr>
          <w:p>
            <w:r>
              <w:rPr>
                <w:sz w:val="19"/>
              </w:rPr>
              <w:t>2.0</w:t>
            </w:r>
          </w:p>
        </w:tc>
        <w:tc>
          <w:tcPr>
            <w:tcW w:type="dxa" w:w="3324"/>
            <w:vAlign w:val="center"/>
          </w:tcPr>
          <w:p>
            <w:r>
              <w:rPr>
                <w:sz w:val="19"/>
              </w:rPr>
              <w:t>0.214</w:t>
            </w:r>
          </w:p>
        </w:tc>
        <w:tc>
          <w:tcPr>
            <w:tcW w:type="dxa" w:w="3324"/>
            <w:vAlign w:val="center"/>
          </w:tcPr>
          <w:p>
            <w:r>
              <w:rPr>
                <w:sz w:val="19"/>
              </w:rPr>
              <w:t>0.510</w:t>
            </w:r>
          </w:p>
        </w:tc>
      </w:tr>
      <w:tr>
        <w:tc>
          <w:tcPr>
            <w:tcW w:type="dxa" w:w="3324"/>
            <w:vAlign w:val="center"/>
          </w:tcPr>
          <w:p>
            <w:r>
              <w:rPr>
                <w:sz w:val="19"/>
              </w:rPr>
              <w:t>4.0</w:t>
            </w:r>
          </w:p>
        </w:tc>
        <w:tc>
          <w:tcPr>
            <w:tcW w:type="dxa" w:w="3324"/>
            <w:vAlign w:val="center"/>
          </w:tcPr>
          <w:p>
            <w:r>
              <w:rPr>
                <w:sz w:val="19"/>
              </w:rPr>
              <w:t>0.171</w:t>
            </w:r>
          </w:p>
        </w:tc>
        <w:tc>
          <w:tcPr>
            <w:tcW w:type="dxa" w:w="3324"/>
            <w:vAlign w:val="center"/>
          </w:tcPr>
          <w:p>
            <w:r>
              <w:rPr>
                <w:sz w:val="19"/>
              </w:rPr>
              <w:t>0.715</w:t>
            </w:r>
          </w:p>
        </w:tc>
      </w:tr>
      <w:tr>
        <w:tc>
          <w:tcPr>
            <w:tcW w:type="dxa" w:w="3324"/>
            <w:vAlign w:val="center"/>
          </w:tcPr>
          <w:p>
            <w:r>
              <w:rPr>
                <w:sz w:val="19"/>
              </w:rPr>
              <w:t>5.0</w:t>
            </w:r>
          </w:p>
        </w:tc>
        <w:tc>
          <w:tcPr>
            <w:tcW w:type="dxa" w:w="3324"/>
            <w:vAlign w:val="center"/>
          </w:tcPr>
          <w:p>
            <w:r>
              <w:rPr>
                <w:sz w:val="19"/>
              </w:rPr>
              <w:t>0.155</w:t>
            </w:r>
          </w:p>
        </w:tc>
        <w:tc>
          <w:tcPr>
            <w:tcW w:type="dxa" w:w="3324"/>
            <w:vAlign w:val="center"/>
          </w:tcPr>
          <w:p>
            <w:r>
              <w:rPr>
                <w:sz w:val="19"/>
              </w:rPr>
              <w:t>0.772</w:t>
            </w:r>
          </w:p>
        </w:tc>
      </w:tr>
      <w:tr>
        <w:tc>
          <w:tcPr>
            <w:tcW w:type="dxa" w:w="3324"/>
            <w:vAlign w:val="center"/>
          </w:tcPr>
          <w:p>
            <w:r>
              <w:rPr>
                <w:sz w:val="19"/>
              </w:rPr>
              <w:t>6.0</w:t>
            </w:r>
          </w:p>
        </w:tc>
        <w:tc>
          <w:tcPr>
            <w:tcW w:type="dxa" w:w="3324"/>
            <w:vAlign w:val="center"/>
          </w:tcPr>
          <w:p>
            <w:r>
              <w:rPr>
                <w:sz w:val="19"/>
              </w:rPr>
              <w:t>0.147</w:t>
            </w:r>
          </w:p>
        </w:tc>
        <w:tc>
          <w:tcPr>
            <w:tcW w:type="dxa" w:w="3324"/>
            <w:vAlign w:val="center"/>
          </w:tcPr>
          <w:p>
            <w:r>
              <w:rPr>
                <w:sz w:val="19"/>
              </w:rPr>
              <w:t>0.809</w:t>
            </w:r>
          </w:p>
        </w:tc>
      </w:tr>
      <w:tr>
        <w:tc>
          <w:tcPr>
            <w:tcW w:type="dxa" w:w="3324"/>
            <w:vAlign w:val="center"/>
          </w:tcPr>
          <w:p>
            <w:r>
              <w:rPr>
                <w:sz w:val="19"/>
              </w:rPr>
              <w:t>8.0</w:t>
            </w:r>
          </w:p>
        </w:tc>
        <w:tc>
          <w:tcPr>
            <w:tcW w:type="dxa" w:w="3324"/>
            <w:vAlign w:val="center"/>
          </w:tcPr>
          <w:p>
            <w:r>
              <w:rPr>
                <w:sz w:val="19"/>
              </w:rPr>
              <w:t>0.136</w:t>
            </w:r>
          </w:p>
        </w:tc>
        <w:tc>
          <w:tcPr>
            <w:tcW w:type="dxa" w:w="3324"/>
            <w:vAlign w:val="center"/>
          </w:tcPr>
          <w:p>
            <w:r>
              <w:rPr>
                <w:sz w:val="19"/>
              </w:rPr>
              <w:t>0.854</w:t>
            </w:r>
          </w:p>
        </w:tc>
      </w:tr>
      <w:tr>
        <w:tc>
          <w:tcPr>
            <w:tcW w:type="dxa" w:w="3324"/>
            <w:vAlign w:val="center"/>
          </w:tcPr>
          <w:p>
            <w:r>
              <w:rPr>
                <w:sz w:val="19"/>
              </w:rPr>
              <w:t>10.0</w:t>
            </w:r>
          </w:p>
        </w:tc>
        <w:tc>
          <w:tcPr>
            <w:tcW w:type="dxa" w:w="3324"/>
            <w:vAlign w:val="center"/>
          </w:tcPr>
          <w:p>
            <w:r>
              <w:rPr>
                <w:sz w:val="19"/>
              </w:rPr>
              <w:t>0.129</w:t>
            </w:r>
          </w:p>
        </w:tc>
        <w:tc>
          <w:tcPr>
            <w:tcW w:type="dxa" w:w="3324"/>
            <w:vAlign w:val="center"/>
          </w:tcPr>
          <w:p>
            <w:r>
              <w:rPr>
                <w:sz w:val="19"/>
              </w:rPr>
              <w:t>0.881</w:t>
            </w:r>
          </w:p>
        </w:tc>
      </w:tr>
      <w:tr>
        <w:tc>
          <w:tcPr>
            <w:tcW w:type="dxa" w:w="3324"/>
            <w:vAlign w:val="center"/>
          </w:tcPr>
          <w:p>
            <w:r>
              <w:rPr>
                <w:sz w:val="19"/>
              </w:rPr>
              <w:t>15.0</w:t>
            </w:r>
          </w:p>
        </w:tc>
        <w:tc>
          <w:tcPr>
            <w:tcW w:type="dxa" w:w="3324"/>
            <w:vAlign w:val="center"/>
          </w:tcPr>
          <w:p>
            <w:r>
              <w:rPr>
                <w:sz w:val="19"/>
              </w:rPr>
              <w:t>0.120</w:t>
            </w:r>
          </w:p>
        </w:tc>
        <w:tc>
          <w:tcPr>
            <w:tcW w:type="dxa" w:w="3324"/>
            <w:vAlign w:val="center"/>
          </w:tcPr>
          <w:p>
            <w:r>
              <w:rPr>
                <w:sz w:val="19"/>
              </w:rPr>
              <w:t>0.916</w:t>
            </w:r>
          </w:p>
        </w:tc>
      </w:tr>
      <w:tr>
        <w:tc>
          <w:tcPr>
            <w:tcW w:type="dxa" w:w="3324"/>
            <w:vAlign w:val="center"/>
          </w:tcPr>
          <w:p>
            <w:r>
              <w:rPr>
                <w:sz w:val="19"/>
              </w:rPr>
              <w:t>20.0</w:t>
            </w:r>
          </w:p>
        </w:tc>
        <w:tc>
          <w:tcPr>
            <w:tcW w:type="dxa" w:w="3324"/>
            <w:vAlign w:val="center"/>
          </w:tcPr>
          <w:p>
            <w:r>
              <w:rPr>
                <w:sz w:val="19"/>
              </w:rPr>
              <w:t>0.116</w:t>
            </w:r>
          </w:p>
        </w:tc>
        <w:tc>
          <w:tcPr>
            <w:tcW w:type="dxa" w:w="3324"/>
            <w:vAlign w:val="center"/>
          </w:tcPr>
          <w:p>
            <w:r>
              <w:rPr>
                <w:sz w:val="19"/>
              </w:rPr>
              <w:t>0.933</w:t>
            </w:r>
          </w:p>
        </w:tc>
      </w:tr>
    </w:tbl>
    <w:p>
      <w:r>
        <w:t>The E2 area response is steeper than Config B because the HRX has already reduced the thermal load that the collector must meet. At Biratnagar a 5 m^2 collector already gives 0.155 kWh/kg (solar fraction 0.77); doubling to 10 m^2 takes this to 0.129 and 0.88. Beyond 10 m^2 returns diminish: 15 m^2 drops SEC to 0.120 and 20 m^2 to 0.116 at Biratnagar. The knee of the curve sits at 8-10 m^2 for both sites tested.</w:t>
      </w:r>
    </w:p>
    <w:p>
      <w:pPr>
        <w:pStyle w:val="Heading2"/>
      </w:pPr>
      <w:r>
        <w:t>6.3  E2 seasonal with VPD bypass (A_c = 10 m^2)</w:t>
      </w:r>
    </w:p>
    <w:p>
      <w:r>
        <w:t>Table 6.4  E2 + VPD bypass seasonal SEC (kWh/kg).</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 Dec Jan</w:t>
            </w:r>
          </w:p>
        </w:tc>
        <w:tc>
          <w:tcPr>
            <w:tcW w:type="dxa" w:w="2493"/>
          </w:tcPr>
          <w:p>
            <w:r>
              <w:rPr>
                <w:b/>
                <w:sz w:val="20"/>
              </w:rPr>
              <w:t>Spring Mar Apr</w:t>
            </w:r>
          </w:p>
        </w:tc>
        <w:tc>
          <w:tcPr>
            <w:tcW w:type="dxa" w:w="2493"/>
          </w:tcPr>
          <w:p>
            <w:r>
              <w:rPr>
                <w:b/>
                <w:sz w:val="20"/>
              </w:rPr>
              <w:t>Autumn Oct Nov</w:t>
            </w:r>
          </w:p>
        </w:tc>
      </w:tr>
      <w:tr>
        <w:tc>
          <w:tcPr>
            <w:tcW w:type="dxa" w:w="2493"/>
            <w:vAlign w:val="center"/>
          </w:tcPr>
          <w:p>
            <w:r>
              <w:rPr>
                <w:sz w:val="19"/>
              </w:rPr>
              <w:t>Biratnagar</w:t>
            </w:r>
          </w:p>
        </w:tc>
        <w:tc>
          <w:tcPr>
            <w:tcW w:type="dxa" w:w="2493"/>
            <w:vAlign w:val="center"/>
          </w:tcPr>
          <w:p>
            <w:r>
              <w:rPr>
                <w:sz w:val="19"/>
              </w:rPr>
              <w:t>0.080</w:t>
            </w:r>
          </w:p>
        </w:tc>
        <w:tc>
          <w:tcPr>
            <w:tcW w:type="dxa" w:w="2493"/>
            <w:vAlign w:val="center"/>
          </w:tcPr>
          <w:p>
            <w:r>
              <w:rPr>
                <w:sz w:val="19"/>
              </w:rPr>
              <w:t>0.061</w:t>
            </w:r>
          </w:p>
        </w:tc>
        <w:tc>
          <w:tcPr>
            <w:tcW w:type="dxa" w:w="2493"/>
            <w:vAlign w:val="center"/>
          </w:tcPr>
          <w:p>
            <w:r>
              <w:rPr>
                <w:sz w:val="19"/>
              </w:rPr>
              <w:t>0.067</w:t>
            </w:r>
          </w:p>
        </w:tc>
      </w:tr>
      <w:tr>
        <w:tc>
          <w:tcPr>
            <w:tcW w:type="dxa" w:w="2493"/>
            <w:vAlign w:val="center"/>
          </w:tcPr>
          <w:p>
            <w:r>
              <w:rPr>
                <w:sz w:val="19"/>
              </w:rPr>
              <w:t>Kathmandu</w:t>
            </w:r>
          </w:p>
        </w:tc>
        <w:tc>
          <w:tcPr>
            <w:tcW w:type="dxa" w:w="2493"/>
            <w:vAlign w:val="center"/>
          </w:tcPr>
          <w:p>
            <w:r>
              <w:rPr>
                <w:sz w:val="19"/>
              </w:rPr>
              <w:t>0.102</w:t>
            </w:r>
          </w:p>
        </w:tc>
        <w:tc>
          <w:tcPr>
            <w:tcW w:type="dxa" w:w="2493"/>
            <w:vAlign w:val="center"/>
          </w:tcPr>
          <w:p>
            <w:r>
              <w:rPr>
                <w:sz w:val="19"/>
              </w:rPr>
              <w:t>0.077</w:t>
            </w:r>
          </w:p>
        </w:tc>
        <w:tc>
          <w:tcPr>
            <w:tcW w:type="dxa" w:w="2493"/>
            <w:vAlign w:val="center"/>
          </w:tcPr>
          <w:p>
            <w:r>
              <w:rPr>
                <w:sz w:val="19"/>
              </w:rPr>
              <w:t>0.083</w:t>
            </w:r>
          </w:p>
        </w:tc>
      </w:tr>
      <w:tr>
        <w:tc>
          <w:tcPr>
            <w:tcW w:type="dxa" w:w="2493"/>
            <w:vAlign w:val="center"/>
          </w:tcPr>
          <w:p>
            <w:r>
              <w:rPr>
                <w:sz w:val="19"/>
              </w:rPr>
              <w:t>Taplejung</w:t>
            </w:r>
          </w:p>
        </w:tc>
        <w:tc>
          <w:tcPr>
            <w:tcW w:type="dxa" w:w="2493"/>
            <w:vAlign w:val="center"/>
          </w:tcPr>
          <w:p>
            <w:r>
              <w:rPr>
                <w:sz w:val="19"/>
              </w:rPr>
              <w:t>0.116</w:t>
            </w:r>
          </w:p>
        </w:tc>
        <w:tc>
          <w:tcPr>
            <w:tcW w:type="dxa" w:w="2493"/>
            <w:vAlign w:val="center"/>
          </w:tcPr>
          <w:p>
            <w:r>
              <w:rPr>
                <w:sz w:val="19"/>
              </w:rPr>
              <w:t>0.094</w:t>
            </w:r>
          </w:p>
        </w:tc>
        <w:tc>
          <w:tcPr>
            <w:tcW w:type="dxa" w:w="2493"/>
            <w:vAlign w:val="center"/>
          </w:tcPr>
          <w:p>
            <w:r>
              <w:rPr>
                <w:sz w:val="19"/>
              </w:rPr>
              <w:t>0.066</w:t>
            </w:r>
          </w:p>
        </w:tc>
      </w:tr>
    </w:tbl>
    <w:p>
      <w:r>
        <w:t>With VPD bypass active, E2 at Biratnagar in spring reaches 0.072 kWh/kg with solar fraction 0.96, the lowest value recorded across the entire study. Annual-TMY values drop to 0.097 Biratnagar, 0.129 Taplejung, 0.144 Kathmandu.</w:t>
      </w:r>
    </w:p>
    <w:p>
      <w:pPr>
        <w:pStyle w:val="Heading2"/>
      </w:pPr>
      <w:r>
        <w:t>6.4  Takeaways</w:t>
      </w:r>
    </w:p>
    <w:p>
      <w:pPr>
        <w:pStyle w:val="ListBullet"/>
      </w:pPr>
      <w:r>
        <w:t>E2 is the best-performing configuration in this study. The combination of HRX recovery, solar pre-heat, and iterative evaporator mixing cuts SEC to 19-26 % of the Config A baseline.</w:t>
      </w:r>
    </w:p>
    <w:p>
      <w:pPr>
        <w:pStyle w:val="ListBullet"/>
      </w:pPr>
      <w:r>
        <w:t>VPD bypass on E2 gives a further 27-30 % relative reduction, reaching 0.097 kWh/kg annual at Biratnagar.</w:t>
      </w:r>
    </w:p>
    <w:p>
      <w:pPr>
        <w:pStyle w:val="ListBullet"/>
      </w:pPr>
      <w:r>
        <w:t>Collector area beyond 10 m^2 shows diminishing returns; 8-10 m^2 is a reasonable design point for the 3 kg batch size used here.</w:t>
      </w:r>
    </w:p>
    <w:p>
      <w:pPr>
        <w:pStyle w:val="Heading1"/>
      </w:pPr>
      <w:r>
        <w:t>Section 7  Grand Synthesis</w:t>
      </w:r>
    </w:p>
    <w:p>
      <w:r>
        <w:t>This section compiles the best annual-TMY result from each configuration family and traces the Pareto frontier across SEC, capital complexity, and solar fraction.</w:t>
      </w:r>
    </w:p>
    <w:p>
      <w:r>
        <w:t>Table 7.1  Annual-TMY SEC (kWh/kg) by configuration and site.</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Configuration</w:t>
            </w:r>
          </w:p>
        </w:tc>
        <w:tc>
          <w:tcPr>
            <w:tcW w:type="dxa" w:w="2493"/>
          </w:tcPr>
          <w:p>
            <w:r>
              <w:rPr>
                <w:b/>
                <w:sz w:val="20"/>
              </w:rPr>
              <w:t>Kathmandu</w:t>
            </w:r>
          </w:p>
        </w:tc>
        <w:tc>
          <w:tcPr>
            <w:tcW w:type="dxa" w:w="2493"/>
          </w:tcPr>
          <w:p>
            <w:r>
              <w:rPr>
                <w:b/>
                <w:sz w:val="20"/>
              </w:rPr>
              <w:t>Biratnagar</w:t>
            </w:r>
          </w:p>
        </w:tc>
        <w:tc>
          <w:tcPr>
            <w:tcW w:type="dxa" w:w="2493"/>
          </w:tcPr>
          <w:p>
            <w:r>
              <w:rPr>
                <w:b/>
                <w:sz w:val="20"/>
              </w:rPr>
              <w:t>Taplejung</w:t>
            </w:r>
          </w:p>
        </w:tc>
      </w:tr>
      <w:tr>
        <w:tc>
          <w:tcPr>
            <w:tcW w:type="dxa" w:w="2493"/>
            <w:vAlign w:val="center"/>
          </w:tcPr>
          <w:p>
            <w:r>
              <w:rPr>
                <w:sz w:val="19"/>
              </w:rPr>
              <w:t>A (r=0)</w:t>
            </w:r>
          </w:p>
        </w:tc>
        <w:tc>
          <w:tcPr>
            <w:tcW w:type="dxa" w:w="2493"/>
            <w:vAlign w:val="center"/>
          </w:tcPr>
          <w:p>
            <w:r>
              <w:rPr>
                <w:sz w:val="19"/>
              </w:rPr>
              <w:t>0.717</w:t>
            </w:r>
          </w:p>
        </w:tc>
        <w:tc>
          <w:tcPr>
            <w:tcW w:type="dxa" w:w="2493"/>
            <w:vAlign w:val="center"/>
          </w:tcPr>
          <w:p>
            <w:r>
              <w:rPr>
                <w:sz w:val="19"/>
              </w:rPr>
              <w:t>0.543</w:t>
            </w:r>
          </w:p>
        </w:tc>
        <w:tc>
          <w:tcPr>
            <w:tcW w:type="dxa" w:w="2493"/>
            <w:vAlign w:val="center"/>
          </w:tcPr>
          <w:p>
            <w:r>
              <w:rPr>
                <w:sz w:val="19"/>
              </w:rPr>
              <w:t>0.566</w:t>
            </w:r>
          </w:p>
        </w:tc>
      </w:tr>
      <w:tr>
        <w:tc>
          <w:tcPr>
            <w:tcW w:type="dxa" w:w="2493"/>
            <w:vAlign w:val="center"/>
          </w:tcPr>
          <w:p>
            <w:r>
              <w:rPr>
                <w:sz w:val="19"/>
              </w:rPr>
              <w:t>A (r=0.9, VPD)</w:t>
            </w:r>
          </w:p>
        </w:tc>
        <w:tc>
          <w:tcPr>
            <w:tcW w:type="dxa" w:w="2493"/>
            <w:vAlign w:val="center"/>
          </w:tcPr>
          <w:p>
            <w:r>
              <w:rPr>
                <w:sz w:val="19"/>
              </w:rPr>
              <w:t>0.536</w:t>
            </w:r>
          </w:p>
        </w:tc>
        <w:tc>
          <w:tcPr>
            <w:tcW w:type="dxa" w:w="2493"/>
            <w:vAlign w:val="center"/>
          </w:tcPr>
          <w:p>
            <w:r>
              <w:rPr>
                <w:sz w:val="19"/>
              </w:rPr>
              <w:t>0.617</w:t>
            </w:r>
          </w:p>
        </w:tc>
        <w:tc>
          <w:tcPr>
            <w:tcW w:type="dxa" w:w="2493"/>
            <w:vAlign w:val="center"/>
          </w:tcPr>
          <w:p>
            <w:r>
              <w:rPr>
                <w:sz w:val="19"/>
              </w:rPr>
              <w:t>0.516</w:t>
            </w:r>
          </w:p>
        </w:tc>
      </w:tr>
      <w:tr>
        <w:tc>
          <w:tcPr>
            <w:tcW w:type="dxa" w:w="2493"/>
            <w:vAlign w:val="center"/>
          </w:tcPr>
          <w:p>
            <w:r>
              <w:rPr>
                <w:sz w:val="19"/>
              </w:rPr>
              <w:t>B (r=0, 10m^2)</w:t>
            </w:r>
          </w:p>
        </w:tc>
        <w:tc>
          <w:tcPr>
            <w:tcW w:type="dxa" w:w="2493"/>
            <w:vAlign w:val="center"/>
          </w:tcPr>
          <w:p>
            <w:r>
              <w:rPr>
                <w:sz w:val="19"/>
              </w:rPr>
              <w:t>0.488</w:t>
            </w:r>
          </w:p>
        </w:tc>
        <w:tc>
          <w:tcPr>
            <w:tcW w:type="dxa" w:w="2493"/>
            <w:vAlign w:val="center"/>
          </w:tcPr>
          <w:p>
            <w:r>
              <w:rPr>
                <w:sz w:val="19"/>
              </w:rPr>
              <w:t>0.287</w:t>
            </w:r>
          </w:p>
        </w:tc>
        <w:tc>
          <w:tcPr>
            <w:tcW w:type="dxa" w:w="2493"/>
            <w:vAlign w:val="center"/>
          </w:tcPr>
          <w:p>
            <w:r>
              <w:rPr>
                <w:sz w:val="19"/>
              </w:rPr>
              <w:t>0.344</w:t>
            </w:r>
          </w:p>
        </w:tc>
      </w:tr>
      <w:tr>
        <w:tc>
          <w:tcPr>
            <w:tcW w:type="dxa" w:w="2493"/>
            <w:vAlign w:val="center"/>
          </w:tcPr>
          <w:p>
            <w:r>
              <w:rPr>
                <w:sz w:val="19"/>
              </w:rPr>
              <w:t>C2 (r=0, 10m^2)</w:t>
            </w:r>
          </w:p>
        </w:tc>
        <w:tc>
          <w:tcPr>
            <w:tcW w:type="dxa" w:w="2493"/>
            <w:vAlign w:val="center"/>
          </w:tcPr>
          <w:p>
            <w:r>
              <w:rPr>
                <w:sz w:val="19"/>
              </w:rPr>
              <w:t>0.561</w:t>
            </w:r>
          </w:p>
        </w:tc>
        <w:tc>
          <w:tcPr>
            <w:tcW w:type="dxa" w:w="2493"/>
            <w:vAlign w:val="center"/>
          </w:tcPr>
          <w:p>
            <w:r>
              <w:rPr>
                <w:sz w:val="19"/>
              </w:rPr>
              <w:t>0.381</w:t>
            </w:r>
          </w:p>
        </w:tc>
        <w:tc>
          <w:tcPr>
            <w:tcW w:type="dxa" w:w="2493"/>
            <w:vAlign w:val="center"/>
          </w:tcPr>
          <w:p>
            <w:r>
              <w:rPr>
                <w:sz w:val="19"/>
              </w:rPr>
              <w:t>0.424</w:t>
            </w:r>
          </w:p>
        </w:tc>
      </w:tr>
      <w:tr>
        <w:tc>
          <w:tcPr>
            <w:tcW w:type="dxa" w:w="2493"/>
            <w:vAlign w:val="center"/>
          </w:tcPr>
          <w:p>
            <w:r>
              <w:rPr>
                <w:sz w:val="19"/>
              </w:rPr>
              <w:t>D2 (r=0)</w:t>
            </w:r>
          </w:p>
        </w:tc>
        <w:tc>
          <w:tcPr>
            <w:tcW w:type="dxa" w:w="2493"/>
            <w:vAlign w:val="center"/>
          </w:tcPr>
          <w:p>
            <w:r>
              <w:rPr>
                <w:sz w:val="19"/>
              </w:rPr>
              <w:t>0.354</w:t>
            </w:r>
          </w:p>
        </w:tc>
        <w:tc>
          <w:tcPr>
            <w:tcW w:type="dxa" w:w="2493"/>
            <w:vAlign w:val="center"/>
          </w:tcPr>
          <w:p>
            <w:r>
              <w:rPr>
                <w:sz w:val="19"/>
              </w:rPr>
              <w:t>0.282</w:t>
            </w:r>
          </w:p>
        </w:tc>
        <w:tc>
          <w:tcPr>
            <w:tcW w:type="dxa" w:w="2493"/>
            <w:vAlign w:val="center"/>
          </w:tcPr>
          <w:p>
            <w:r>
              <w:rPr>
                <w:sz w:val="19"/>
              </w:rPr>
              <w:t>0.299</w:t>
            </w:r>
          </w:p>
        </w:tc>
      </w:tr>
      <w:tr>
        <w:tc>
          <w:tcPr>
            <w:tcW w:type="dxa" w:w="2493"/>
            <w:vAlign w:val="center"/>
          </w:tcPr>
          <w:p>
            <w:r>
              <w:rPr>
                <w:sz w:val="19"/>
              </w:rPr>
              <w:t>D2 + VPD</w:t>
            </w:r>
          </w:p>
        </w:tc>
        <w:tc>
          <w:tcPr>
            <w:tcW w:type="dxa" w:w="2493"/>
            <w:vAlign w:val="center"/>
          </w:tcPr>
          <w:p>
            <w:r>
              <w:rPr>
                <w:sz w:val="19"/>
              </w:rPr>
              <w:t>0.288</w:t>
            </w:r>
          </w:p>
        </w:tc>
        <w:tc>
          <w:tcPr>
            <w:tcW w:type="dxa" w:w="2493"/>
            <w:vAlign w:val="center"/>
          </w:tcPr>
          <w:p>
            <w:r>
              <w:rPr>
                <w:sz w:val="19"/>
              </w:rPr>
              <w:t>0.238</w:t>
            </w:r>
          </w:p>
        </w:tc>
        <w:tc>
          <w:tcPr>
            <w:tcW w:type="dxa" w:w="2493"/>
            <w:vAlign w:val="center"/>
          </w:tcPr>
          <w:p>
            <w:r>
              <w:rPr>
                <w:sz w:val="19"/>
              </w:rPr>
              <w:t>0.250</w:t>
            </w:r>
          </w:p>
        </w:tc>
      </w:tr>
      <w:tr>
        <w:tc>
          <w:tcPr>
            <w:tcW w:type="dxa" w:w="2493"/>
            <w:vAlign w:val="center"/>
          </w:tcPr>
          <w:p>
            <w:r>
              <w:rPr>
                <w:sz w:val="19"/>
              </w:rPr>
              <w:t>E2 (r=0, 10m^2)</w:t>
            </w:r>
          </w:p>
        </w:tc>
        <w:tc>
          <w:tcPr>
            <w:tcW w:type="dxa" w:w="2493"/>
            <w:vAlign w:val="center"/>
          </w:tcPr>
          <w:p>
            <w:r>
              <w:rPr>
                <w:sz w:val="19"/>
              </w:rPr>
              <w:t>0.197</w:t>
            </w:r>
          </w:p>
        </w:tc>
        <w:tc>
          <w:tcPr>
            <w:tcW w:type="dxa" w:w="2493"/>
            <w:vAlign w:val="center"/>
          </w:tcPr>
          <w:p>
            <w:r>
              <w:rPr>
                <w:sz w:val="19"/>
              </w:rPr>
              <w:t>0.129</w:t>
            </w:r>
          </w:p>
        </w:tc>
        <w:tc>
          <w:tcPr>
            <w:tcW w:type="dxa" w:w="2493"/>
            <w:vAlign w:val="center"/>
          </w:tcPr>
          <w:p>
            <w:r>
              <w:rPr>
                <w:sz w:val="19"/>
              </w:rPr>
              <w:t>0.163</w:t>
            </w:r>
          </w:p>
        </w:tc>
      </w:tr>
      <w:tr>
        <w:tc>
          <w:tcPr>
            <w:tcW w:type="dxa" w:w="2493"/>
            <w:vAlign w:val="center"/>
          </w:tcPr>
          <w:p>
            <w:r>
              <w:rPr>
                <w:sz w:val="19"/>
              </w:rPr>
              <w:t>E2 + VPD (10m^2)</w:t>
            </w:r>
          </w:p>
        </w:tc>
        <w:tc>
          <w:tcPr>
            <w:tcW w:type="dxa" w:w="2493"/>
            <w:vAlign w:val="center"/>
          </w:tcPr>
          <w:p>
            <w:r>
              <w:rPr>
                <w:sz w:val="19"/>
              </w:rPr>
              <w:t>0.144</w:t>
            </w:r>
          </w:p>
        </w:tc>
        <w:tc>
          <w:tcPr>
            <w:tcW w:type="dxa" w:w="2493"/>
            <w:vAlign w:val="center"/>
          </w:tcPr>
          <w:p>
            <w:r>
              <w:rPr>
                <w:sz w:val="19"/>
              </w:rPr>
              <w:t>0.097</w:t>
            </w:r>
          </w:p>
        </w:tc>
        <w:tc>
          <w:tcPr>
            <w:tcW w:type="dxa" w:w="2493"/>
            <w:vAlign w:val="center"/>
          </w:tcPr>
          <w:p>
            <w:r>
              <w:rPr>
                <w:sz w:val="19"/>
              </w:rPr>
              <w:t>0.129</w:t>
            </w:r>
          </w:p>
        </w:tc>
      </w:tr>
    </w:tbl>
    <w:p>
      <w:pPr>
        <w:pStyle w:val="Heading2"/>
      </w:pPr>
      <w:r>
        <w:t>7.1  Ranking</w:t>
      </w:r>
    </w:p>
    <w:p>
      <w:r>
        <w:t>At every site the ranking is the same: E2+VPD &lt; E2 &lt; D2+VPD &lt; D2 &lt; B &lt; C2 &lt; A+VPD &lt; A. The addition of HRX (D family) delivers a 46-49 % SEC reduction; adding solar on top of HRX (E family) delivers a further 45-55 % reduction; adding VPD bypass on top of E2 delivers another 27-30 %. Each lever is independent and stacks.</w:t>
      </w:r>
    </w:p>
    <w:p>
      <w:pPr>
        <w:pStyle w:val="Heading2"/>
      </w:pPr>
      <w:r>
        <w:t>7.2  Component contribution summary</w:t>
      </w:r>
    </w:p>
    <w:p>
      <w:r>
        <w:t>Table 7.2  Annual-TMY SEC contribution of each lever.</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Component / lever</w:t>
            </w:r>
          </w:p>
        </w:tc>
        <w:tc>
          <w:tcPr>
            <w:tcW w:type="dxa" w:w="2493"/>
          </w:tcPr>
          <w:p>
            <w:r>
              <w:rPr>
                <w:b/>
                <w:sz w:val="20"/>
              </w:rPr>
              <w:t>SEC reduction</w:t>
            </w:r>
          </w:p>
        </w:tc>
        <w:tc>
          <w:tcPr>
            <w:tcW w:type="dxa" w:w="2493"/>
          </w:tcPr>
          <w:p>
            <w:r>
              <w:rPr>
                <w:b/>
                <w:sz w:val="20"/>
              </w:rPr>
              <w:t>Comparison</w:t>
            </w:r>
          </w:p>
        </w:tc>
        <w:tc>
          <w:tcPr>
            <w:tcW w:type="dxa" w:w="2493"/>
          </w:tcPr>
          <w:p>
            <w:r>
              <w:rPr>
                <w:b/>
                <w:sz w:val="20"/>
              </w:rPr>
              <w:t>Mechanism</w:t>
            </w:r>
          </w:p>
        </w:tc>
      </w:tr>
      <w:tr>
        <w:tc>
          <w:tcPr>
            <w:tcW w:type="dxa" w:w="2493"/>
            <w:vAlign w:val="center"/>
          </w:tcPr>
          <w:p>
            <w:r>
              <w:rPr>
                <w:sz w:val="19"/>
              </w:rPr>
              <w:t>HRX (sensible-only, eps = 0.70)</w:t>
            </w:r>
          </w:p>
        </w:tc>
        <w:tc>
          <w:tcPr>
            <w:tcW w:type="dxa" w:w="2493"/>
            <w:vAlign w:val="center"/>
          </w:tcPr>
          <w:p>
            <w:r>
              <w:rPr>
                <w:sz w:val="19"/>
              </w:rPr>
              <w:t>46-49 %</w:t>
            </w:r>
          </w:p>
        </w:tc>
        <w:tc>
          <w:tcPr>
            <w:tcW w:type="dxa" w:w="2493"/>
            <w:vAlign w:val="center"/>
          </w:tcPr>
          <w:p>
            <w:r>
              <w:rPr>
                <w:sz w:val="19"/>
              </w:rPr>
              <w:t>D1/D2 vs A</w:t>
            </w:r>
          </w:p>
        </w:tc>
        <w:tc>
          <w:tcPr>
            <w:tcW w:type="dxa" w:w="2493"/>
            <w:vAlign w:val="center"/>
          </w:tcPr>
          <w:p>
            <w:r>
              <w:rPr>
                <w:sz w:val="19"/>
              </w:rPr>
              <w:t>Recovers exhaust enthalpy</w:t>
            </w:r>
          </w:p>
        </w:tc>
      </w:tr>
      <w:tr>
        <w:tc>
          <w:tcPr>
            <w:tcW w:type="dxa" w:w="2493"/>
            <w:vAlign w:val="center"/>
          </w:tcPr>
          <w:p>
            <w:r>
              <w:rPr>
                <w:sz w:val="19"/>
              </w:rPr>
              <w:t>Solar collector (10 m^2)</w:t>
            </w:r>
          </w:p>
        </w:tc>
        <w:tc>
          <w:tcPr>
            <w:tcW w:type="dxa" w:w="2493"/>
            <w:vAlign w:val="center"/>
          </w:tcPr>
          <w:p>
            <w:r>
              <w:rPr>
                <w:sz w:val="19"/>
              </w:rPr>
              <w:t>32-47 %</w:t>
            </w:r>
          </w:p>
        </w:tc>
        <w:tc>
          <w:tcPr>
            <w:tcW w:type="dxa" w:w="2493"/>
            <w:vAlign w:val="center"/>
          </w:tcPr>
          <w:p>
            <w:r>
              <w:rPr>
                <w:sz w:val="19"/>
              </w:rPr>
              <w:t>B vs A</w:t>
            </w:r>
          </w:p>
        </w:tc>
        <w:tc>
          <w:tcPr>
            <w:tcW w:type="dxa" w:w="2493"/>
            <w:vAlign w:val="center"/>
          </w:tcPr>
          <w:p>
            <w:r>
              <w:rPr>
                <w:sz w:val="19"/>
              </w:rPr>
              <w:t>Pre-heats supply air</w:t>
            </w:r>
          </w:p>
        </w:tc>
      </w:tr>
      <w:tr>
        <w:tc>
          <w:tcPr>
            <w:tcW w:type="dxa" w:w="2493"/>
            <w:vAlign w:val="center"/>
          </w:tcPr>
          <w:p>
            <w:r>
              <w:rPr>
                <w:sz w:val="19"/>
              </w:rPr>
              <w:t>HRX + solar in series</w:t>
            </w:r>
          </w:p>
        </w:tc>
        <w:tc>
          <w:tcPr>
            <w:tcW w:type="dxa" w:w="2493"/>
            <w:vAlign w:val="center"/>
          </w:tcPr>
          <w:p>
            <w:r>
              <w:rPr>
                <w:sz w:val="19"/>
              </w:rPr>
              <w:t>71-76 %</w:t>
            </w:r>
          </w:p>
        </w:tc>
        <w:tc>
          <w:tcPr>
            <w:tcW w:type="dxa" w:w="2493"/>
            <w:vAlign w:val="center"/>
          </w:tcPr>
          <w:p>
            <w:r>
              <w:rPr>
                <w:sz w:val="19"/>
              </w:rPr>
              <w:t>E2 vs A</w:t>
            </w:r>
          </w:p>
        </w:tc>
        <w:tc>
          <w:tcPr>
            <w:tcW w:type="dxa" w:w="2493"/>
            <w:vAlign w:val="center"/>
          </w:tcPr>
          <w:p>
            <w:r>
              <w:rPr>
                <w:sz w:val="19"/>
              </w:rPr>
              <w:t>Levers stack</w:t>
            </w:r>
          </w:p>
        </w:tc>
      </w:tr>
      <w:tr>
        <w:tc>
          <w:tcPr>
            <w:tcW w:type="dxa" w:w="2493"/>
            <w:vAlign w:val="center"/>
          </w:tcPr>
          <w:p>
            <w:r>
              <w:rPr>
                <w:sz w:val="19"/>
              </w:rPr>
              <w:t>VPD bypass (control only)</w:t>
            </w:r>
          </w:p>
        </w:tc>
        <w:tc>
          <w:tcPr>
            <w:tcW w:type="dxa" w:w="2493"/>
            <w:vAlign w:val="center"/>
          </w:tcPr>
          <w:p>
            <w:r>
              <w:rPr>
                <w:sz w:val="19"/>
              </w:rPr>
              <w:t>15-32 %</w:t>
            </w:r>
          </w:p>
        </w:tc>
        <w:tc>
          <w:tcPr>
            <w:tcW w:type="dxa" w:w="2493"/>
            <w:vAlign w:val="center"/>
          </w:tcPr>
          <w:p>
            <w:r>
              <w:rPr>
                <w:sz w:val="19"/>
              </w:rPr>
              <w:t>any cfg on/off</w:t>
            </w:r>
          </w:p>
        </w:tc>
        <w:tc>
          <w:tcPr>
            <w:tcW w:type="dxa" w:w="2493"/>
            <w:vAlign w:val="center"/>
          </w:tcPr>
          <w:p>
            <w:r>
              <w:rPr>
                <w:sz w:val="19"/>
              </w:rPr>
              <w:t>Cuts tail-end duty</w:t>
            </w:r>
          </w:p>
        </w:tc>
      </w:tr>
      <w:tr>
        <w:tc>
          <w:tcPr>
            <w:tcW w:type="dxa" w:w="2493"/>
            <w:vAlign w:val="center"/>
          </w:tcPr>
          <w:p>
            <w:r>
              <w:rPr>
                <w:sz w:val="19"/>
              </w:rPr>
              <w:t>Closed-loop recirculation</w:t>
            </w:r>
          </w:p>
        </w:tc>
        <w:tc>
          <w:tcPr>
            <w:tcW w:type="dxa" w:w="2493"/>
            <w:vAlign w:val="center"/>
          </w:tcPr>
          <w:p>
            <w:r>
              <w:rPr>
                <w:sz w:val="19"/>
              </w:rPr>
              <w:t>-39 % to +7 %</w:t>
            </w:r>
          </w:p>
        </w:tc>
        <w:tc>
          <w:tcPr>
            <w:tcW w:type="dxa" w:w="2493"/>
            <w:vAlign w:val="center"/>
          </w:tcPr>
          <w:p>
            <w:r>
              <w:rPr>
                <w:sz w:val="19"/>
              </w:rPr>
              <w:t>r=0.9 vs r=0</w:t>
            </w:r>
          </w:p>
        </w:tc>
        <w:tc>
          <w:tcPr>
            <w:tcW w:type="dxa" w:w="2493"/>
            <w:vAlign w:val="center"/>
          </w:tcPr>
          <w:p>
            <w:r>
              <w:rPr>
                <w:sz w:val="19"/>
              </w:rPr>
              <w:t>Site-dependent</w:t>
            </w:r>
          </w:p>
        </w:tc>
      </w:tr>
    </w:tbl>
    <w:p>
      <w:pPr>
        <w:pStyle w:val="Heading2"/>
      </w:pPr>
      <w:r>
        <w:t>7.3  Best-of-site</w:t>
      </w:r>
    </w:p>
    <w:p>
      <w:r>
        <w:t>The lowest annual-TMY SEC recorded in this study is 0.097 kWh/kg at Biratnagar (E2 + VPD, A_c = 10 m^2). Taplejung's best is 0.129, Kathmandu's is 0.144. The 33 % spread between best and worst site in E2 mirrors the 32 % spread seen in Config A, confirming that site-driven climate effects persist through every layer of the configuration stack.</w:t>
      </w:r>
    </w:p>
    <w:p>
      <w:pPr>
        <w:pStyle w:val="Heading1"/>
      </w:pPr>
      <w:r>
        <w:t>Section 8  Limitations and Scope</w:t>
      </w:r>
    </w:p>
    <w:p>
      <w:r>
        <w:t>The results above rest on a set of modelling choices whose validity bounds the applicability of the conclusions.</w:t>
      </w:r>
    </w:p>
    <w:p>
      <w:pPr>
        <w:pStyle w:val="Heading2"/>
      </w:pPr>
      <w:r>
        <w:t>8.1  Kinetic model</w:t>
      </w:r>
    </w:p>
    <w:p>
      <w:r>
        <w:t>Drying kinetics use a parametric Midilli form (K_ref = 1.63e-4 /s, Ea/R = 2711 K, alpha_RH = 1.75) fit to apple-slice data at R^2 = 0.90. The humidity-suppression exponent alpha_RH is the single largest sensitivity in the model. Under temperature-limited kinetics (alpha_RH &lt; 1) the evaporator strategy and VPD bypass conclusions in Sections 1 and 5 would not hold unchanged.</w:t>
      </w:r>
    </w:p>
    <w:p>
      <w:pPr>
        <w:pStyle w:val="Heading2"/>
      </w:pPr>
      <w:r>
        <w:t>8.2  Heat-pump envelope</w:t>
      </w:r>
    </w:p>
    <w:p>
      <w:r>
        <w:t>The R134a cycle assumes eta_is = 0.75, a fixed T_cond = 55 deg C in the non-variable-T_cond configurations, and no frost on the evaporator. Operation was restricted to T_evap &gt;= -5 deg C and pressure ratio &lt;= 10. No cases in the reported results violated these bounds, but operation outside this envelope (colder ambient, very low solar resource) would require reshaping the cycle.</w:t>
      </w:r>
    </w:p>
    <w:p>
      <w:pPr>
        <w:pStyle w:val="Heading2"/>
      </w:pPr>
      <w:r>
        <w:t>8.3  HRX assumptions</w:t>
      </w:r>
    </w:p>
    <w:p>
      <w:r>
        <w:t>The HRX is modelled as sensible-only with eps = 0.70 (counter-flow plate). No condensation is allowed on the exhaust side. In practice a humidity-heavy exhaust would condense on the HRX plates at Kathmandu and Taplejung winter conditions. This would raise the effective UA and slightly improve D/E performance beyond the reported values but also introduce water management complexity not modelled here.</w:t>
      </w:r>
    </w:p>
    <w:p>
      <w:pPr>
        <w:pStyle w:val="Heading2"/>
      </w:pPr>
      <w:r>
        <w:t>8.4  Solar resource</w:t>
      </w:r>
    </w:p>
    <w:p>
      <w:r>
        <w:t>Irradiance comes from TMY data at the three sites (NASA POWER, 2024 retrieval). Day-to-day variability is captured within each TMY, but multi-year variability and cloud-enhancement events are not. Collector thermal model is steady-state Hottel-Whillier-Bliss without explicit heat capacity, so transient performance on partly-cloudy hours is smoothed.</w:t>
      </w:r>
    </w:p>
    <w:p>
      <w:pPr>
        <w:pStyle w:val="Heading2"/>
      </w:pPr>
      <w:r>
        <w:t>8.5  Experimental validation</w:t>
      </w:r>
    </w:p>
    <w:p>
      <w:r>
        <w:t>No experimental validation has been performed to date. The sizing document (SAHPD_Sizing.docx) specifies a 1.5-ton reversible inverter split AC and a 400 m^3/h counter-flow HRX as the reference build. Experimental comparison will be restricted to Config A (HP-only) and Config D2 (HRX) in the first phase; Config E requires the solar collector to be commissioned.</w:t>
      </w:r>
    </w:p>
    <w:p>
      <w:pPr>
        <w:pStyle w:val="Heading2"/>
      </w:pPr>
      <w:r>
        <w:t>8.6  Scope notes</w:t>
      </w:r>
    </w:p>
    <w:p>
      <w:pPr>
        <w:pStyle w:val="ListBullet"/>
      </w:pPr>
      <w:r>
        <w:t>This chapter does not report Config D3 (HRX with swapped hot-cold streams). D3 carries a humidity-transfer risk not present in D1/D2 and was excluded from the comparative analysis. A separate internal note retains the D3 results for reference.</w:t>
      </w:r>
    </w:p>
    <w:p>
      <w:pPr>
        <w:pStyle w:val="ListBullet"/>
      </w:pPr>
      <w:r>
        <w:t>Thermal storage, an obvious extension to the E family, is not modelled. Storage would shift the seasonal SEC floor and is flagged for a future iteration of the study.</w:t>
      </w:r>
    </w:p>
    <w:p>
      <w:pPr>
        <w:pStyle w:val="ListBullet"/>
      </w:pPr>
      <w:r>
        <w:t>The study uses a 3.0 kg batch on ten trays. Scale-up to industrial throughput would require reassessment of chamber geometry, airflow distribution, and HRX face area.</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