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Section 1  Config A: Heat-Pump-Only Baseline</w:t>
      </w:r>
    </w:p>
    <w:p>
      <w:r>
        <w:t>Config A is the reference case. A single-stage vapour-compression heat pump (R134a, eta_is = 0.75) heats ambient air to the chamber set-point (T_set = 45 deg C) and removes moisture from 3.0 kg of apple slices (X0 = 6.5, X_f = 0.10 db) distributed across ten trays. Every other configuration in this thesis adds one or more free-energy components on top of this baseline, so Config A sets the ceiling against which their benefits are measured.</w:t>
      </w:r>
    </w:p>
    <w:p>
      <w:pPr>
        <w:pStyle w:val="Heading2"/>
      </w:pPr>
      <w:r>
        <w:t>1.1  Air paths</w:t>
      </w:r>
    </w:p>
    <w:p>
      <w:r>
        <w:t>Two operating modes are possible and differ in whether exhaust air is reused.</w:t>
      </w:r>
    </w:p>
    <w:p>
      <w:pPr>
        <w:pStyle w:val="ListBullet"/>
      </w:pPr>
      <w:r>
        <w:t>Open-loop (r = 0).</w:t>
      </w:r>
    </w:p>
    <w:p>
      <w:pPr>
        <w:pStyle w:val="ListBullet"/>
      </w:pPr>
      <w:r>
        <w:t>Ambient air enters the condenser, is heated to T_set, passes through the chamber, and is expelled. The evaporator draws heat from a separate ambient stream; its saturation temperature tracks ambient (T_evap ~ T_amb - 10 K).</w:t>
      </w:r>
    </w:p>
    <w:p>
      <w:pPr>
        <w:pStyle w:val="ListBullet"/>
      </w:pPr>
      <w:r>
        <w:t>Closed-loop (r &gt; 0).</w:t>
      </w:r>
    </w:p>
    <w:p>
      <w:pPr>
        <w:pStyle w:val="ListBullet"/>
      </w:pPr>
      <w:r>
        <w:t>Fraction r of the exhaust is mixed with fresh ambient, dehumidified at the evaporator (T_evap fixed at 5 deg C), then reheated at the condenser. The first law is enforced: Q_cond = Q_evap + W_comp.</w:t>
      </w:r>
    </w:p>
    <w:p>
      <w:pPr>
        <w:pStyle w:val="Heading2"/>
      </w:pPr>
      <w:r>
        <w:t>1.2  Open-loop baseline (r = 0)</w:t>
      </w:r>
    </w:p>
    <w:p>
      <w:r>
        <w:t>Table 1.1  Config A annual-TMY performance, r = 0.</w:t>
      </w:r>
    </w:p>
    <w:tbl>
      <w:tblPr>
        <w:tblStyle w:val="LightGrid-Accent1"/>
        <w:tblW w:type="auto" w:w="0"/>
        <w:tblLayout w:type="autofit"/>
        <w:tblLook w:firstColumn="1" w:firstRow="1" w:lastColumn="0" w:lastRow="0" w:noHBand="0" w:noVBand="1" w:val="04A0"/>
      </w:tblPr>
      <w:tblGrid>
        <w:gridCol w:w="1425"/>
        <w:gridCol w:w="1425"/>
        <w:gridCol w:w="1425"/>
        <w:gridCol w:w="1425"/>
        <w:gridCol w:w="1425"/>
        <w:gridCol w:w="1425"/>
        <w:gridCol w:w="1425"/>
      </w:tblGrid>
      <w:tr>
        <w:tc>
          <w:tcPr>
            <w:tcW w:type="dxa" w:w="1425"/>
          </w:tcPr>
          <w:p>
            <w:r>
              <w:rPr>
                <w:b/>
                <w:sz w:val="20"/>
              </w:rPr>
              <w:t>Site</w:t>
            </w:r>
          </w:p>
        </w:tc>
        <w:tc>
          <w:tcPr>
            <w:tcW w:type="dxa" w:w="1425"/>
          </w:tcPr>
          <w:p>
            <w:r>
              <w:rPr>
                <w:b/>
                <w:sz w:val="20"/>
              </w:rPr>
              <w:t>Time (h)</w:t>
            </w:r>
          </w:p>
        </w:tc>
        <w:tc>
          <w:tcPr>
            <w:tcW w:type="dxa" w:w="1425"/>
          </w:tcPr>
          <w:p>
            <w:r>
              <w:rPr>
                <w:b/>
                <w:sz w:val="20"/>
              </w:rPr>
              <w:t>SEC (kWh/kg)</w:t>
            </w:r>
          </w:p>
        </w:tc>
        <w:tc>
          <w:tcPr>
            <w:tcW w:type="dxa" w:w="1425"/>
          </w:tcPr>
          <w:p>
            <w:r>
              <w:rPr>
                <w:b/>
                <w:sz w:val="20"/>
              </w:rPr>
              <w:t>SMER (kg/kWh)</w:t>
            </w:r>
          </w:p>
        </w:tc>
        <w:tc>
          <w:tcPr>
            <w:tcW w:type="dxa" w:w="1425"/>
          </w:tcPr>
          <w:p>
            <w:r>
              <w:rPr>
                <w:b/>
                <w:sz w:val="20"/>
              </w:rPr>
              <w:t>W_comp (kWh)</w:t>
            </w:r>
          </w:p>
        </w:tc>
        <w:tc>
          <w:tcPr>
            <w:tcW w:type="dxa" w:w="1425"/>
          </w:tcPr>
          <w:p>
            <w:r>
              <w:rPr>
                <w:b/>
                <w:sz w:val="20"/>
              </w:rPr>
              <w:t>COP_mean</w:t>
            </w:r>
          </w:p>
        </w:tc>
        <w:tc>
          <w:tcPr>
            <w:tcW w:type="dxa" w:w="1425"/>
          </w:tcPr>
          <w:p>
            <w:r>
              <w:rPr>
                <w:b/>
                <w:sz w:val="20"/>
              </w:rPr>
              <w:t>m_water (kg)</w:t>
            </w:r>
          </w:p>
        </w:tc>
      </w:tr>
      <w:tr>
        <w:tc>
          <w:tcPr>
            <w:tcW w:type="dxa" w:w="1425"/>
            <w:vAlign w:val="center"/>
          </w:tcPr>
          <w:p>
            <w:r>
              <w:rPr>
                <w:sz w:val="19"/>
              </w:rPr>
              <w:t>Kathmandu</w:t>
            </w:r>
          </w:p>
        </w:tc>
        <w:tc>
          <w:tcPr>
            <w:tcW w:type="dxa" w:w="1425"/>
            <w:vAlign w:val="center"/>
          </w:tcPr>
          <w:p>
            <w:r>
              <w:rPr>
                <w:sz w:val="19"/>
              </w:rPr>
              <w:t>13.85</w:t>
            </w:r>
          </w:p>
        </w:tc>
        <w:tc>
          <w:tcPr>
            <w:tcW w:type="dxa" w:w="1425"/>
            <w:vAlign w:val="center"/>
          </w:tcPr>
          <w:p>
            <w:r>
              <w:rPr>
                <w:sz w:val="19"/>
              </w:rPr>
              <w:t>0.717</w:t>
            </w:r>
          </w:p>
        </w:tc>
        <w:tc>
          <w:tcPr>
            <w:tcW w:type="dxa" w:w="1425"/>
            <w:vAlign w:val="center"/>
          </w:tcPr>
          <w:p>
            <w:r>
              <w:rPr>
                <w:sz w:val="19"/>
              </w:rPr>
              <w:t>1.396</w:t>
            </w:r>
          </w:p>
        </w:tc>
        <w:tc>
          <w:tcPr>
            <w:tcW w:type="dxa" w:w="1425"/>
            <w:vAlign w:val="center"/>
          </w:tcPr>
          <w:p>
            <w:r>
              <w:rPr>
                <w:sz w:val="19"/>
              </w:rPr>
              <w:t>13.52</w:t>
            </w:r>
          </w:p>
        </w:tc>
        <w:tc>
          <w:tcPr>
            <w:tcW w:type="dxa" w:w="1425"/>
            <w:vAlign w:val="center"/>
          </w:tcPr>
          <w:p>
            <w:r>
              <w:rPr>
                <w:sz w:val="19"/>
              </w:rPr>
              <w:t>3.63</w:t>
            </w:r>
          </w:p>
        </w:tc>
        <w:tc>
          <w:tcPr>
            <w:tcW w:type="dxa" w:w="1425"/>
            <w:vAlign w:val="center"/>
          </w:tcPr>
          <w:p>
            <w:r>
              <w:rPr>
                <w:sz w:val="19"/>
              </w:rPr>
              <w:t>19.34</w:t>
            </w:r>
          </w:p>
        </w:tc>
      </w:tr>
      <w:tr>
        <w:tc>
          <w:tcPr>
            <w:tcW w:type="dxa" w:w="1425"/>
            <w:vAlign w:val="center"/>
          </w:tcPr>
          <w:p>
            <w:r>
              <w:rPr>
                <w:sz w:val="19"/>
              </w:rPr>
              <w:t>Biratnagar</w:t>
            </w:r>
          </w:p>
        </w:tc>
        <w:tc>
          <w:tcPr>
            <w:tcW w:type="dxa" w:w="1425"/>
            <w:vAlign w:val="center"/>
          </w:tcPr>
          <w:p>
            <w:r>
              <w:rPr>
                <w:sz w:val="19"/>
              </w:rPr>
              <w:t>14.45</w:t>
            </w:r>
          </w:p>
        </w:tc>
        <w:tc>
          <w:tcPr>
            <w:tcW w:type="dxa" w:w="1425"/>
            <w:vAlign w:val="center"/>
          </w:tcPr>
          <w:p>
            <w:r>
              <w:rPr>
                <w:sz w:val="19"/>
              </w:rPr>
              <w:t>0.543</w:t>
            </w:r>
          </w:p>
        </w:tc>
        <w:tc>
          <w:tcPr>
            <w:tcW w:type="dxa" w:w="1425"/>
            <w:vAlign w:val="center"/>
          </w:tcPr>
          <w:p>
            <w:r>
              <w:rPr>
                <w:sz w:val="19"/>
              </w:rPr>
              <w:t>1.843</w:t>
            </w:r>
          </w:p>
        </w:tc>
        <w:tc>
          <w:tcPr>
            <w:tcW w:type="dxa" w:w="1425"/>
            <w:vAlign w:val="center"/>
          </w:tcPr>
          <w:p>
            <w:r>
              <w:rPr>
                <w:sz w:val="19"/>
              </w:rPr>
              <w:t>10.13</w:t>
            </w:r>
          </w:p>
        </w:tc>
        <w:tc>
          <w:tcPr>
            <w:tcW w:type="dxa" w:w="1425"/>
            <w:vAlign w:val="center"/>
          </w:tcPr>
          <w:p>
            <w:r>
              <w:rPr>
                <w:sz w:val="19"/>
              </w:rPr>
              <w:t>4.43</w:t>
            </w:r>
          </w:p>
        </w:tc>
        <w:tc>
          <w:tcPr>
            <w:tcW w:type="dxa" w:w="1425"/>
            <w:vAlign w:val="center"/>
          </w:tcPr>
          <w:p>
            <w:r>
              <w:rPr>
                <w:sz w:val="19"/>
              </w:rPr>
              <w:t>19.32</w:t>
            </w:r>
          </w:p>
        </w:tc>
      </w:tr>
      <w:tr>
        <w:tc>
          <w:tcPr>
            <w:tcW w:type="dxa" w:w="1425"/>
            <w:vAlign w:val="center"/>
          </w:tcPr>
          <w:p>
            <w:r>
              <w:rPr>
                <w:sz w:val="19"/>
              </w:rPr>
              <w:t>Taplejung</w:t>
            </w:r>
          </w:p>
        </w:tc>
        <w:tc>
          <w:tcPr>
            <w:tcW w:type="dxa" w:w="1425"/>
            <w:vAlign w:val="center"/>
          </w:tcPr>
          <w:p>
            <w:r>
              <w:rPr>
                <w:sz w:val="19"/>
              </w:rPr>
              <w:t>13.97</w:t>
            </w:r>
          </w:p>
        </w:tc>
        <w:tc>
          <w:tcPr>
            <w:tcW w:type="dxa" w:w="1425"/>
            <w:vAlign w:val="center"/>
          </w:tcPr>
          <w:p>
            <w:r>
              <w:rPr>
                <w:sz w:val="19"/>
              </w:rPr>
              <w:t>0.566</w:t>
            </w:r>
          </w:p>
        </w:tc>
        <w:tc>
          <w:tcPr>
            <w:tcW w:type="dxa" w:w="1425"/>
            <w:vAlign w:val="center"/>
          </w:tcPr>
          <w:p>
            <w:r>
              <w:rPr>
                <w:sz w:val="19"/>
              </w:rPr>
              <w:t>1.766</w:t>
            </w:r>
          </w:p>
        </w:tc>
        <w:tc>
          <w:tcPr>
            <w:tcW w:type="dxa" w:w="1425"/>
            <w:vAlign w:val="center"/>
          </w:tcPr>
          <w:p>
            <w:r>
              <w:rPr>
                <w:sz w:val="19"/>
              </w:rPr>
              <w:t>10.61</w:t>
            </w:r>
          </w:p>
        </w:tc>
        <w:tc>
          <w:tcPr>
            <w:tcW w:type="dxa" w:w="1425"/>
            <w:vAlign w:val="center"/>
          </w:tcPr>
          <w:p>
            <w:r>
              <w:rPr>
                <w:sz w:val="19"/>
              </w:rPr>
              <w:t>3.92</w:t>
            </w:r>
          </w:p>
        </w:tc>
        <w:tc>
          <w:tcPr>
            <w:tcW w:type="dxa" w:w="1425"/>
            <w:vAlign w:val="center"/>
          </w:tcPr>
          <w:p>
            <w:r>
              <w:rPr>
                <w:sz w:val="19"/>
              </w:rPr>
              <w:t>19.34</w:t>
            </w:r>
          </w:p>
        </w:tc>
      </w:tr>
    </w:tbl>
    <w:p>
      <w:r>
        <w:t>Annual SEC spans 0.543 kWh/kg at Biratnagar to 0.717 kWh/kg at Kathmandu, a 32 % range. Two factors drive the gap. First, Biratnagar's warmer annual mean ambient (T_amb ~ 25 deg C) gives a smaller condenser-to-evaporator lift (35 K vs. 45 K at Kathmandu), lifting COP from 3.63 to 4.43. Second, the lower altitude at Biratnagar (72 m, ~100.5 kPa) gives denser air and higher mass flow at the same face velocity, which reduces the time-integrated compressor load. Drying time sits in a narrow band (13.9-14.5 h) because T_to_chamber is fixed at 45 deg C at all sites, so the kinetic driving force is identical.</w:t>
      </w:r>
    </w:p>
    <w:p>
      <w:r>
        <w:t>Table 1.2  Config A seasonal SEC (kWh/kg), r = 0.</w:t>
      </w:r>
    </w:p>
    <w:tbl>
      <w:tblPr>
        <w:tblStyle w:val="LightGrid-Accent1"/>
        <w:tblW w:type="auto" w:w="0"/>
        <w:tblLayout w:type="autofit"/>
        <w:tblLook w:firstColumn="1" w:firstRow="1" w:lastColumn="0" w:lastRow="0" w:noHBand="0" w:noVBand="1" w:val="04A0"/>
      </w:tblPr>
      <w:tblGrid>
        <w:gridCol w:w="2493"/>
        <w:gridCol w:w="2493"/>
        <w:gridCol w:w="2493"/>
        <w:gridCol w:w="2493"/>
      </w:tblGrid>
      <w:tr>
        <w:tc>
          <w:tcPr>
            <w:tcW w:type="dxa" w:w="2493"/>
          </w:tcPr>
          <w:p>
            <w:r>
              <w:rPr>
                <w:b/>
                <w:sz w:val="20"/>
              </w:rPr>
              <w:t>Site</w:t>
            </w:r>
          </w:p>
        </w:tc>
        <w:tc>
          <w:tcPr>
            <w:tcW w:type="dxa" w:w="2493"/>
          </w:tcPr>
          <w:p>
            <w:r>
              <w:rPr>
                <w:b/>
                <w:sz w:val="20"/>
              </w:rPr>
              <w:t>Winter (Dec-Jan)</w:t>
            </w:r>
          </w:p>
        </w:tc>
        <w:tc>
          <w:tcPr>
            <w:tcW w:type="dxa" w:w="2493"/>
          </w:tcPr>
          <w:p>
            <w:r>
              <w:rPr>
                <w:b/>
                <w:sz w:val="20"/>
              </w:rPr>
              <w:t>Spring (Mar-Apr)</w:t>
            </w:r>
          </w:p>
        </w:tc>
        <w:tc>
          <w:tcPr>
            <w:tcW w:type="dxa" w:w="2493"/>
          </w:tcPr>
          <w:p>
            <w:r>
              <w:rPr>
                <w:b/>
                <w:sz w:val="20"/>
              </w:rPr>
              <w:t>Autumn (Oct-Nov)</w:t>
            </w:r>
          </w:p>
        </w:tc>
      </w:tr>
      <w:tr>
        <w:tc>
          <w:tcPr>
            <w:tcW w:type="dxa" w:w="2493"/>
            <w:vAlign w:val="center"/>
          </w:tcPr>
          <w:p>
            <w:r>
              <w:rPr>
                <w:sz w:val="19"/>
              </w:rPr>
              <w:t>Biratnagar</w:t>
            </w:r>
          </w:p>
        </w:tc>
        <w:tc>
          <w:tcPr>
            <w:tcW w:type="dxa" w:w="2493"/>
            <w:vAlign w:val="center"/>
          </w:tcPr>
          <w:p>
            <w:r>
              <w:rPr>
                <w:sz w:val="19"/>
              </w:rPr>
              <w:t>0.427</w:t>
            </w:r>
          </w:p>
        </w:tc>
        <w:tc>
          <w:tcPr>
            <w:tcW w:type="dxa" w:w="2493"/>
            <w:vAlign w:val="center"/>
          </w:tcPr>
          <w:p>
            <w:r>
              <w:rPr>
                <w:sz w:val="19"/>
              </w:rPr>
              <w:t>0.367</w:t>
            </w:r>
          </w:p>
        </w:tc>
        <w:tc>
          <w:tcPr>
            <w:tcW w:type="dxa" w:w="2493"/>
            <w:vAlign w:val="center"/>
          </w:tcPr>
          <w:p>
            <w:r>
              <w:rPr>
                <w:sz w:val="19"/>
              </w:rPr>
              <w:t>0.435</w:t>
            </w:r>
          </w:p>
        </w:tc>
      </w:tr>
      <w:tr>
        <w:tc>
          <w:tcPr>
            <w:tcW w:type="dxa" w:w="2493"/>
            <w:vAlign w:val="center"/>
          </w:tcPr>
          <w:p>
            <w:r>
              <w:rPr>
                <w:sz w:val="19"/>
              </w:rPr>
              <w:t>Kathmandu</w:t>
            </w:r>
          </w:p>
        </w:tc>
        <w:tc>
          <w:tcPr>
            <w:tcW w:type="dxa" w:w="2493"/>
            <w:vAlign w:val="center"/>
          </w:tcPr>
          <w:p>
            <w:r>
              <w:rPr>
                <w:sz w:val="19"/>
              </w:rPr>
              <w:t>0.588</w:t>
            </w:r>
          </w:p>
        </w:tc>
        <w:tc>
          <w:tcPr>
            <w:tcW w:type="dxa" w:w="2493"/>
            <w:vAlign w:val="center"/>
          </w:tcPr>
          <w:p>
            <w:r>
              <w:rPr>
                <w:sz w:val="19"/>
              </w:rPr>
              <w:t>0.487</w:t>
            </w:r>
          </w:p>
        </w:tc>
        <w:tc>
          <w:tcPr>
            <w:tcW w:type="dxa" w:w="2493"/>
            <w:vAlign w:val="center"/>
          </w:tcPr>
          <w:p>
            <w:r>
              <w:rPr>
                <w:sz w:val="19"/>
              </w:rPr>
              <w:t>0.500</w:t>
            </w:r>
          </w:p>
        </w:tc>
      </w:tr>
      <w:tr>
        <w:tc>
          <w:tcPr>
            <w:tcW w:type="dxa" w:w="2493"/>
            <w:vAlign w:val="center"/>
          </w:tcPr>
          <w:p>
            <w:r>
              <w:rPr>
                <w:sz w:val="19"/>
              </w:rPr>
              <w:t>Taplejung</w:t>
            </w:r>
          </w:p>
        </w:tc>
        <w:tc>
          <w:tcPr>
            <w:tcW w:type="dxa" w:w="2493"/>
            <w:vAlign w:val="center"/>
          </w:tcPr>
          <w:p>
            <w:r>
              <w:rPr>
                <w:sz w:val="19"/>
              </w:rPr>
              <w:t>0.622</w:t>
            </w:r>
          </w:p>
        </w:tc>
        <w:tc>
          <w:tcPr>
            <w:tcW w:type="dxa" w:w="2493"/>
            <w:vAlign w:val="center"/>
          </w:tcPr>
          <w:p>
            <w:r>
              <w:rPr>
                <w:sz w:val="19"/>
              </w:rPr>
              <w:t>0.451</w:t>
            </w:r>
          </w:p>
        </w:tc>
        <w:tc>
          <w:tcPr>
            <w:tcW w:type="dxa" w:w="2493"/>
            <w:vAlign w:val="center"/>
          </w:tcPr>
          <w:p>
            <w:r>
              <w:rPr>
                <w:sz w:val="19"/>
              </w:rPr>
              <w:t>0.457</w:t>
            </w:r>
          </w:p>
        </w:tc>
      </w:tr>
    </w:tbl>
    <w:p>
      <w:r>
        <w:t>Seasonal SEC is 15-30 % below the annual-TMY value at all three sites. The annual TMY includes pre-monsoon and monsoon months when ambient RH exceeds 80 %, raising the humidity-suppression term alpha_RH in the Midilli kinetics and extending drying. The three drying seasons used here (autumn, winter, spring) correspond to the typical post-harvest window for apple in Nepal.</w:t>
      </w:r>
    </w:p>
    <w:p>
      <w:pPr>
        <w:pStyle w:val="Heading2"/>
      </w:pPr>
      <w:r>
        <w:t>1.3  Recirculation sweep</w:t>
      </w:r>
    </w:p>
    <w:p>
      <w:r>
        <w:t>Table 1.3  Config A annual-TMY SEC (kWh/kg) vs. recirculation fraction r.</w:t>
      </w:r>
    </w:p>
    <w:tbl>
      <w:tblPr>
        <w:tblStyle w:val="LightGrid-Accent1"/>
        <w:tblW w:type="auto" w:w="0"/>
        <w:tblLayout w:type="autofit"/>
        <w:tblLook w:firstColumn="1" w:firstRow="1" w:lastColumn="0" w:lastRow="0" w:noHBand="0" w:noVBand="1" w:val="04A0"/>
      </w:tblPr>
      <w:tblGrid>
        <w:gridCol w:w="1425"/>
        <w:gridCol w:w="1425"/>
        <w:gridCol w:w="1425"/>
        <w:gridCol w:w="1425"/>
        <w:gridCol w:w="1425"/>
        <w:gridCol w:w="1425"/>
        <w:gridCol w:w="1425"/>
      </w:tblGrid>
      <w:tr>
        <w:tc>
          <w:tcPr>
            <w:tcW w:type="dxa" w:w="1425"/>
          </w:tcPr>
          <w:p>
            <w:r>
              <w:rPr>
                <w:b/>
                <w:sz w:val="20"/>
              </w:rPr>
              <w:t>Site</w:t>
            </w:r>
          </w:p>
        </w:tc>
        <w:tc>
          <w:tcPr>
            <w:tcW w:type="dxa" w:w="1425"/>
          </w:tcPr>
          <w:p>
            <w:r>
              <w:rPr>
                <w:b/>
                <w:sz w:val="20"/>
              </w:rPr>
              <w:t>r = 0.0</w:t>
            </w:r>
          </w:p>
        </w:tc>
        <w:tc>
          <w:tcPr>
            <w:tcW w:type="dxa" w:w="1425"/>
          </w:tcPr>
          <w:p>
            <w:r>
              <w:rPr>
                <w:b/>
                <w:sz w:val="20"/>
              </w:rPr>
              <w:t>r = 0.3</w:t>
            </w:r>
          </w:p>
        </w:tc>
        <w:tc>
          <w:tcPr>
            <w:tcW w:type="dxa" w:w="1425"/>
          </w:tcPr>
          <w:p>
            <w:r>
              <w:rPr>
                <w:b/>
                <w:sz w:val="20"/>
              </w:rPr>
              <w:t>r = 0.5</w:t>
            </w:r>
          </w:p>
        </w:tc>
        <w:tc>
          <w:tcPr>
            <w:tcW w:type="dxa" w:w="1425"/>
          </w:tcPr>
          <w:p>
            <w:r>
              <w:rPr>
                <w:b/>
                <w:sz w:val="20"/>
              </w:rPr>
              <w:t>r = 0.7</w:t>
            </w:r>
          </w:p>
        </w:tc>
        <w:tc>
          <w:tcPr>
            <w:tcW w:type="dxa" w:w="1425"/>
          </w:tcPr>
          <w:p>
            <w:r>
              <w:rPr>
                <w:b/>
                <w:sz w:val="20"/>
              </w:rPr>
              <w:t>r = 0.9</w:t>
            </w:r>
          </w:p>
        </w:tc>
        <w:tc>
          <w:tcPr>
            <w:tcW w:type="dxa" w:w="1425"/>
          </w:tcPr>
          <w:p>
            <w:r>
              <w:rPr>
                <w:b/>
                <w:sz w:val="20"/>
              </w:rPr>
              <w:t>r = 1.0</w:t>
            </w:r>
          </w:p>
        </w:tc>
      </w:tr>
      <w:tr>
        <w:tc>
          <w:tcPr>
            <w:tcW w:type="dxa" w:w="1425"/>
            <w:vAlign w:val="center"/>
          </w:tcPr>
          <w:p>
            <w:r>
              <w:rPr>
                <w:sz w:val="19"/>
              </w:rPr>
              <w:t>Biratnagar</w:t>
            </w:r>
          </w:p>
        </w:tc>
        <w:tc>
          <w:tcPr>
            <w:tcW w:type="dxa" w:w="1425"/>
            <w:vAlign w:val="center"/>
          </w:tcPr>
          <w:p>
            <w:r>
              <w:rPr>
                <w:sz w:val="19"/>
              </w:rPr>
              <w:t>0.543</w:t>
            </w:r>
          </w:p>
        </w:tc>
        <w:tc>
          <w:tcPr>
            <w:tcW w:type="dxa" w:w="1425"/>
            <w:vAlign w:val="center"/>
          </w:tcPr>
          <w:p>
            <w:r>
              <w:rPr>
                <w:sz w:val="19"/>
              </w:rPr>
              <w:t>1.647</w:t>
            </w:r>
          </w:p>
        </w:tc>
        <w:tc>
          <w:tcPr>
            <w:tcW w:type="dxa" w:w="1425"/>
            <w:vAlign w:val="center"/>
          </w:tcPr>
          <w:p>
            <w:r>
              <w:rPr>
                <w:sz w:val="19"/>
              </w:rPr>
              <w:t>0.995</w:t>
            </w:r>
          </w:p>
        </w:tc>
        <w:tc>
          <w:tcPr>
            <w:tcW w:type="dxa" w:w="1425"/>
            <w:vAlign w:val="center"/>
          </w:tcPr>
          <w:p>
            <w:r>
              <w:rPr>
                <w:sz w:val="19"/>
              </w:rPr>
              <w:t>0.765</w:t>
            </w:r>
          </w:p>
        </w:tc>
        <w:tc>
          <w:tcPr>
            <w:tcW w:type="dxa" w:w="1425"/>
            <w:vAlign w:val="center"/>
          </w:tcPr>
          <w:p>
            <w:r>
              <w:rPr>
                <w:sz w:val="19"/>
              </w:rPr>
              <w:t>0.753</w:t>
            </w:r>
          </w:p>
        </w:tc>
        <w:tc>
          <w:tcPr>
            <w:tcW w:type="dxa" w:w="1425"/>
            <w:vAlign w:val="center"/>
          </w:tcPr>
          <w:p>
            <w:r>
              <w:rPr>
                <w:sz w:val="19"/>
              </w:rPr>
              <w:t>0.752</w:t>
            </w:r>
          </w:p>
        </w:tc>
      </w:tr>
      <w:tr>
        <w:tc>
          <w:tcPr>
            <w:tcW w:type="dxa" w:w="1425"/>
            <w:vAlign w:val="center"/>
          </w:tcPr>
          <w:p>
            <w:r>
              <w:rPr>
                <w:sz w:val="19"/>
              </w:rPr>
              <w:t>Kathmandu</w:t>
            </w:r>
          </w:p>
        </w:tc>
        <w:tc>
          <w:tcPr>
            <w:tcW w:type="dxa" w:w="1425"/>
            <w:vAlign w:val="center"/>
          </w:tcPr>
          <w:p>
            <w:r>
              <w:rPr>
                <w:sz w:val="19"/>
              </w:rPr>
              <w:t>0.717</w:t>
            </w:r>
          </w:p>
        </w:tc>
        <w:tc>
          <w:tcPr>
            <w:tcW w:type="dxa" w:w="1425"/>
            <w:vAlign w:val="center"/>
          </w:tcPr>
          <w:p>
            <w:r>
              <w:rPr>
                <w:sz w:val="19"/>
              </w:rPr>
              <w:t>0.931</w:t>
            </w:r>
          </w:p>
        </w:tc>
        <w:tc>
          <w:tcPr>
            <w:tcW w:type="dxa" w:w="1425"/>
            <w:vAlign w:val="center"/>
          </w:tcPr>
          <w:p>
            <w:r>
              <w:rPr>
                <w:sz w:val="19"/>
              </w:rPr>
              <w:t>0.901</w:t>
            </w:r>
          </w:p>
        </w:tc>
        <w:tc>
          <w:tcPr>
            <w:tcW w:type="dxa" w:w="1425"/>
            <w:vAlign w:val="center"/>
          </w:tcPr>
          <w:p>
            <w:r>
              <w:rPr>
                <w:sz w:val="19"/>
              </w:rPr>
              <w:t>0.892</w:t>
            </w:r>
          </w:p>
        </w:tc>
        <w:tc>
          <w:tcPr>
            <w:tcW w:type="dxa" w:w="1425"/>
            <w:vAlign w:val="center"/>
          </w:tcPr>
          <w:p>
            <w:r>
              <w:rPr>
                <w:sz w:val="19"/>
              </w:rPr>
              <w:t>0.669</w:t>
            </w:r>
          </w:p>
        </w:tc>
        <w:tc>
          <w:tcPr>
            <w:tcW w:type="dxa" w:w="1425"/>
            <w:vAlign w:val="center"/>
          </w:tcPr>
          <w:p>
            <w:r>
              <w:rPr>
                <w:sz w:val="19"/>
              </w:rPr>
              <w:t>0.674</w:t>
            </w:r>
          </w:p>
        </w:tc>
      </w:tr>
      <w:tr>
        <w:tc>
          <w:tcPr>
            <w:tcW w:type="dxa" w:w="1425"/>
            <w:vAlign w:val="center"/>
          </w:tcPr>
          <w:p>
            <w:r>
              <w:rPr>
                <w:sz w:val="19"/>
              </w:rPr>
              <w:t>Taplejung</w:t>
            </w:r>
          </w:p>
        </w:tc>
        <w:tc>
          <w:tcPr>
            <w:tcW w:type="dxa" w:w="1425"/>
            <w:vAlign w:val="center"/>
          </w:tcPr>
          <w:p>
            <w:r>
              <w:rPr>
                <w:sz w:val="19"/>
              </w:rPr>
              <w:t>0.566</w:t>
            </w:r>
          </w:p>
        </w:tc>
        <w:tc>
          <w:tcPr>
            <w:tcW w:type="dxa" w:w="1425"/>
            <w:vAlign w:val="center"/>
          </w:tcPr>
          <w:p>
            <w:r>
              <w:rPr>
                <w:sz w:val="19"/>
              </w:rPr>
              <w:t>-</w:t>
            </w:r>
          </w:p>
        </w:tc>
        <w:tc>
          <w:tcPr>
            <w:tcW w:type="dxa" w:w="1425"/>
            <w:vAlign w:val="center"/>
          </w:tcPr>
          <w:p>
            <w:r>
              <w:rPr>
                <w:sz w:val="19"/>
              </w:rPr>
              <w:t>-</w:t>
            </w:r>
          </w:p>
        </w:tc>
        <w:tc>
          <w:tcPr>
            <w:tcW w:type="dxa" w:w="1425"/>
            <w:vAlign w:val="center"/>
          </w:tcPr>
          <w:p>
            <w:r>
              <w:rPr>
                <w:sz w:val="19"/>
              </w:rPr>
              <w:t>-</w:t>
            </w:r>
          </w:p>
        </w:tc>
        <w:tc>
          <w:tcPr>
            <w:tcW w:type="dxa" w:w="1425"/>
            <w:vAlign w:val="center"/>
          </w:tcPr>
          <w:p>
            <w:r>
              <w:rPr>
                <w:sz w:val="19"/>
              </w:rPr>
              <w:t>0.646</w:t>
            </w:r>
          </w:p>
        </w:tc>
        <w:tc>
          <w:tcPr>
            <w:tcW w:type="dxa" w:w="1425"/>
            <w:vAlign w:val="center"/>
          </w:tcPr>
          <w:p>
            <w:r>
              <w:rPr>
                <w:sz w:val="19"/>
              </w:rPr>
              <w:t>0.647</w:t>
            </w:r>
          </w:p>
        </w:tc>
      </w:tr>
    </w:tbl>
    <w:p>
      <w:r>
        <w:t>The response to recirculation is site-dependent. At Kathmandu, SEC falls from 0.717 at r = 0 to a minimum of 0.669 at r = 0.9 (6.7 % reduction). At Biratnagar the trend inverts: SEC rises from 0.543 to 0.753 at r = 0.9 (39 % increase). Taplejung sits between the two, with a shallow 14 % increase at r = 0.9.</w:t>
      </w:r>
    </w:p>
    <w:p>
      <w:r>
        <w:t>The crossover is set by the evaporator operating point. In open-loop, T_evap adapts to ambient (T_evap ~ T_amb - 10 K), giving 15 deg C at Biratnagar and 5 deg C at Kathmandu. In closed-loop T_evap is fixed at 5 deg C regardless of site. At warm sites this forces the heat pump to pull the saturation temperature lower than ambient conditions require, increasing the pressure ratio and the compressor work per kg of water removed. At cool sites the fixed T_evap is already close to the open-loop value, and the dehumidification benefit of mixing slightly cooler recirculated air into the condenser inlet produces a net SEC gain.</w:t>
      </w:r>
    </w:p>
    <w:p>
      <w:r>
        <w:t>Between r = 0.9 and r = 1.0 the change is below 1 % at every site. Full closure removes no fresh air to dilute the humidity build-up, so the steady-state humidity and SEC are set by the evaporator's dehumidification rate rather than by r itself.</w:t>
      </w:r>
    </w:p>
    <w:p>
      <w:pPr>
        <w:pStyle w:val="Heading2"/>
      </w:pPr>
      <w:r>
        <w:t>1.4  Evaporator temperature strategy</w:t>
      </w:r>
    </w:p>
    <w:p>
      <w:r>
        <w:t>All closed-loop runs reported above use a fixed T_evap = 5 deg C. An onset-tracking strategy, in which T_evap is set a few K below the instantaneous mixed-air dew point, was investigated to reduce the late-drying compressor load once the air is already dry. The detail is covered under Section 5 (control strategies); the conclusion that applies here is that under the humidity-suppressed kinetics used in this work (alpha_RH = 1.75) the fixed strategy remains competitive at Kathmandu and Taplejung, with onset-tracking giving a 6-10 % gain only at Biratnagar.</w:t>
      </w:r>
    </w:p>
    <w:p>
      <w:pPr>
        <w:pStyle w:val="Heading2"/>
      </w:pPr>
      <w:r>
        <w:t>1.5  Takeaways</w:t>
      </w:r>
    </w:p>
    <w:p>
      <w:r>
        <w:t>Three properties of Config A propagate through the rest of the thesis.</w:t>
      </w:r>
    </w:p>
    <w:p>
      <w:pPr>
        <w:pStyle w:val="ListBullet"/>
      </w:pPr>
      <w:r>
        <w:t>Drying time is fixed by T_to_chamber and ambient humidity, not by configuration. Every configuration that reaches 45 deg C chamber inlet will dry in 14-15 h under annual TMY. Differences between configurations appear in SEC and SMER, not in time.</w:t>
      </w:r>
    </w:p>
    <w:p>
      <w:pPr>
        <w:pStyle w:val="ListBullet"/>
      </w:pPr>
      <w:r>
        <w:t>SEC is site-driven. Biratnagar (warm, low altitude) reaches 0.543 kWh/kg open-loop, Kathmandu reaches 0.717, Taplejung 0.566. Any configuration's reported SEC must be read against its site to be meaningful.</w:t>
      </w:r>
    </w:p>
    <w:p>
      <w:pPr>
        <w:pStyle w:val="ListBullet"/>
      </w:pPr>
      <w:r>
        <w:t>The open-loop path is the strongest baseline at warm sites. Closed-loop recirculation only reduces SEC when ambient is cold enough that the fixed T_evap = 5 deg C sits at or below the open-loop evaporator setpoint. This constraint recurs when Config B's solar collector is combined with recirculation in Section 2.</w:t>
      </w:r>
    </w:p>
    <w:sectPr w:rsidR="00FC693F" w:rsidRPr="0006063C" w:rsidSect="00034616">
      <w:pgSz w:w="12240" w:h="15840"/>
      <w:pgMar w:top="1440" w:right="1134" w:bottom="144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