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Section 2  Config B: Solar + Heat Pump in Series</w:t>
      </w:r>
    </w:p>
    <w:p>
      <w:r>
        <w:t>Config B places a flat-plate solar air collector in series upstream of the condenser. In open-loop (r = 0) the air path is Ambient -&gt; Collector -&gt; Condenser -&gt; Chamber -&gt; Exhaust; in closed-loop the recirculated exhaust is first dehumidified at the evaporator, then pre-heated by the collector, then brought to T_set = 45 deg C by the condenser. The heat pump provides only the residual temperature lift that the collector cannot, so compressor duty scales inversely with available irradiance. The collector uses the Hottel-Whillier-Bliss model with F_R(tau-alpha) = 0.68 and F_R U_L = 4.2 W/m^2/K.</w:t>
      </w:r>
    </w:p>
    <w:p>
      <w:pPr>
        <w:pStyle w:val="Heading2"/>
      </w:pPr>
      <w:r>
        <w:t>2.1  Open-loop baseline (r = 0, A_c = 10 m^2)</w:t>
      </w:r>
    </w:p>
    <w:p>
      <w:r>
        <w:t>Table 2.1  Config B annual-TMY performance vs. Config A, r = 0, A_c = 10 m^2.</w:t>
      </w:r>
    </w:p>
    <w:tbl>
      <w:tblPr>
        <w:tblStyle w:val="LightGrid-Accent1"/>
        <w:tblW w:type="auto" w:w="0"/>
        <w:tblLayout w:type="autofit"/>
        <w:tblLook w:firstColumn="1" w:firstRow="1" w:lastColumn="0" w:lastRow="0" w:noHBand="0" w:noVBand="1" w:val="04A0"/>
      </w:tblPr>
      <w:tblGrid>
        <w:gridCol w:w="1425"/>
        <w:gridCol w:w="1425"/>
        <w:gridCol w:w="1425"/>
        <w:gridCol w:w="1425"/>
        <w:gridCol w:w="1425"/>
        <w:gridCol w:w="1425"/>
        <w:gridCol w:w="1425"/>
      </w:tblGrid>
      <w:tr>
        <w:tc>
          <w:tcPr>
            <w:tcW w:type="dxa" w:w="1425"/>
          </w:tcPr>
          <w:p>
            <w:r>
              <w:rPr>
                <w:b/>
                <w:sz w:val="20"/>
              </w:rPr>
              <w:t>Site</w:t>
            </w:r>
          </w:p>
        </w:tc>
        <w:tc>
          <w:tcPr>
            <w:tcW w:type="dxa" w:w="1425"/>
          </w:tcPr>
          <w:p>
            <w:r>
              <w:rPr>
                <w:b/>
                <w:sz w:val="20"/>
              </w:rPr>
              <w:t>SEC_A (kWh/kg)</w:t>
            </w:r>
          </w:p>
        </w:tc>
        <w:tc>
          <w:tcPr>
            <w:tcW w:type="dxa" w:w="1425"/>
          </w:tcPr>
          <w:p>
            <w:r>
              <w:rPr>
                <w:b/>
                <w:sz w:val="20"/>
              </w:rPr>
              <w:t>SEC_B (kWh/kg)</w:t>
            </w:r>
          </w:p>
        </w:tc>
        <w:tc>
          <w:tcPr>
            <w:tcW w:type="dxa" w:w="1425"/>
          </w:tcPr>
          <w:p>
            <w:r>
              <w:rPr>
                <w:b/>
                <w:sz w:val="20"/>
              </w:rPr>
              <w:t>SEC reduction</w:t>
            </w:r>
          </w:p>
        </w:tc>
        <w:tc>
          <w:tcPr>
            <w:tcW w:type="dxa" w:w="1425"/>
          </w:tcPr>
          <w:p>
            <w:r>
              <w:rPr>
                <w:b/>
                <w:sz w:val="20"/>
              </w:rPr>
              <w:t>Solar fraction</w:t>
            </w:r>
          </w:p>
        </w:tc>
        <w:tc>
          <w:tcPr>
            <w:tcW w:type="dxa" w:w="1425"/>
          </w:tcPr>
          <w:p>
            <w:r>
              <w:rPr>
                <w:b/>
                <w:sz w:val="20"/>
              </w:rPr>
              <w:t>Q_solar (kWh)</w:t>
            </w:r>
          </w:p>
        </w:tc>
        <w:tc>
          <w:tcPr>
            <w:tcW w:type="dxa" w:w="1425"/>
          </w:tcPr>
          <w:p>
            <w:r>
              <w:rPr>
                <w:b/>
                <w:sz w:val="20"/>
              </w:rPr>
              <w:t>W_comp (kWh)</w:t>
            </w:r>
          </w:p>
        </w:tc>
      </w:tr>
      <w:tr>
        <w:tc>
          <w:tcPr>
            <w:tcW w:type="dxa" w:w="1425"/>
            <w:vAlign w:val="center"/>
          </w:tcPr>
          <w:p>
            <w:r>
              <w:rPr>
                <w:sz w:val="19"/>
              </w:rPr>
              <w:t>Kathmandu</w:t>
            </w:r>
          </w:p>
        </w:tc>
        <w:tc>
          <w:tcPr>
            <w:tcW w:type="dxa" w:w="1425"/>
            <w:vAlign w:val="center"/>
          </w:tcPr>
          <w:p>
            <w:r>
              <w:rPr>
                <w:sz w:val="19"/>
              </w:rPr>
              <w:t>0.717</w:t>
            </w:r>
          </w:p>
        </w:tc>
        <w:tc>
          <w:tcPr>
            <w:tcW w:type="dxa" w:w="1425"/>
            <w:vAlign w:val="center"/>
          </w:tcPr>
          <w:p>
            <w:r>
              <w:rPr>
                <w:sz w:val="19"/>
              </w:rPr>
              <w:t>0.488</w:t>
            </w:r>
          </w:p>
        </w:tc>
        <w:tc>
          <w:tcPr>
            <w:tcW w:type="dxa" w:w="1425"/>
            <w:vAlign w:val="center"/>
          </w:tcPr>
          <w:p>
            <w:r>
              <w:rPr>
                <w:sz w:val="19"/>
              </w:rPr>
              <w:t>-32.0 %</w:t>
            </w:r>
          </w:p>
        </w:tc>
        <w:tc>
          <w:tcPr>
            <w:tcW w:type="dxa" w:w="1425"/>
            <w:vAlign w:val="center"/>
          </w:tcPr>
          <w:p>
            <w:r>
              <w:rPr>
                <w:sz w:val="19"/>
              </w:rPr>
              <w:t>0.627</w:t>
            </w:r>
          </w:p>
        </w:tc>
        <w:tc>
          <w:tcPr>
            <w:tcW w:type="dxa" w:w="1425"/>
            <w:vAlign w:val="center"/>
          </w:tcPr>
          <w:p>
            <w:r>
              <w:rPr>
                <w:sz w:val="19"/>
              </w:rPr>
              <w:t>15.87</w:t>
            </w:r>
          </w:p>
        </w:tc>
        <w:tc>
          <w:tcPr>
            <w:tcW w:type="dxa" w:w="1425"/>
            <w:vAlign w:val="center"/>
          </w:tcPr>
          <w:p>
            <w:r>
              <w:rPr>
                <w:sz w:val="19"/>
              </w:rPr>
              <w:t>9.09</w:t>
            </w:r>
          </w:p>
        </w:tc>
      </w:tr>
      <w:tr>
        <w:tc>
          <w:tcPr>
            <w:tcW w:type="dxa" w:w="1425"/>
            <w:vAlign w:val="center"/>
          </w:tcPr>
          <w:p>
            <w:r>
              <w:rPr>
                <w:sz w:val="19"/>
              </w:rPr>
              <w:t>Biratnagar</w:t>
            </w:r>
          </w:p>
        </w:tc>
        <w:tc>
          <w:tcPr>
            <w:tcW w:type="dxa" w:w="1425"/>
            <w:vAlign w:val="center"/>
          </w:tcPr>
          <w:p>
            <w:r>
              <w:rPr>
                <w:sz w:val="19"/>
              </w:rPr>
              <w:t>0.543</w:t>
            </w:r>
          </w:p>
        </w:tc>
        <w:tc>
          <w:tcPr>
            <w:tcW w:type="dxa" w:w="1425"/>
            <w:vAlign w:val="center"/>
          </w:tcPr>
          <w:p>
            <w:r>
              <w:rPr>
                <w:sz w:val="19"/>
              </w:rPr>
              <w:t>0.287</w:t>
            </w:r>
          </w:p>
        </w:tc>
        <w:tc>
          <w:tcPr>
            <w:tcW w:type="dxa" w:w="1425"/>
            <w:vAlign w:val="center"/>
          </w:tcPr>
          <w:p>
            <w:r>
              <w:rPr>
                <w:sz w:val="19"/>
              </w:rPr>
              <w:t>-47.1 %</w:t>
            </w:r>
          </w:p>
        </w:tc>
        <w:tc>
          <w:tcPr>
            <w:tcW w:type="dxa" w:w="1425"/>
            <w:vAlign w:val="center"/>
          </w:tcPr>
          <w:p>
            <w:r>
              <w:rPr>
                <w:sz w:val="19"/>
              </w:rPr>
              <w:t>0.804</w:t>
            </w:r>
          </w:p>
        </w:tc>
        <w:tc>
          <w:tcPr>
            <w:tcW w:type="dxa" w:w="1425"/>
            <w:vAlign w:val="center"/>
          </w:tcPr>
          <w:p>
            <w:r>
              <w:rPr>
                <w:sz w:val="19"/>
              </w:rPr>
              <w:t>22.76</w:t>
            </w:r>
          </w:p>
        </w:tc>
        <w:tc>
          <w:tcPr>
            <w:tcW w:type="dxa" w:w="1425"/>
            <w:vAlign w:val="center"/>
          </w:tcPr>
          <w:p>
            <w:r>
              <w:rPr>
                <w:sz w:val="19"/>
              </w:rPr>
              <w:t>5.18</w:t>
            </w:r>
          </w:p>
        </w:tc>
      </w:tr>
      <w:tr>
        <w:tc>
          <w:tcPr>
            <w:tcW w:type="dxa" w:w="1425"/>
            <w:vAlign w:val="center"/>
          </w:tcPr>
          <w:p>
            <w:r>
              <w:rPr>
                <w:sz w:val="19"/>
              </w:rPr>
              <w:t>Taplejung</w:t>
            </w:r>
          </w:p>
        </w:tc>
        <w:tc>
          <w:tcPr>
            <w:tcW w:type="dxa" w:w="1425"/>
            <w:vAlign w:val="center"/>
          </w:tcPr>
          <w:p>
            <w:r>
              <w:rPr>
                <w:sz w:val="19"/>
              </w:rPr>
              <w:t>0.566</w:t>
            </w:r>
          </w:p>
        </w:tc>
        <w:tc>
          <w:tcPr>
            <w:tcW w:type="dxa" w:w="1425"/>
            <w:vAlign w:val="center"/>
          </w:tcPr>
          <w:p>
            <w:r>
              <w:rPr>
                <w:sz w:val="19"/>
              </w:rPr>
              <w:t>0.344</w:t>
            </w:r>
          </w:p>
        </w:tc>
        <w:tc>
          <w:tcPr>
            <w:tcW w:type="dxa" w:w="1425"/>
            <w:vAlign w:val="center"/>
          </w:tcPr>
          <w:p>
            <w:r>
              <w:rPr>
                <w:sz w:val="19"/>
              </w:rPr>
              <w:t>-39.2 %</w:t>
            </w:r>
          </w:p>
        </w:tc>
        <w:tc>
          <w:tcPr>
            <w:tcW w:type="dxa" w:w="1425"/>
            <w:vAlign w:val="center"/>
          </w:tcPr>
          <w:p>
            <w:r>
              <w:rPr>
                <w:sz w:val="19"/>
              </w:rPr>
              <w:t>0.716</w:t>
            </w:r>
          </w:p>
        </w:tc>
        <w:tc>
          <w:tcPr>
            <w:tcW w:type="dxa" w:w="1425"/>
            <w:vAlign w:val="center"/>
          </w:tcPr>
          <w:p>
            <w:r>
              <w:rPr>
                <w:sz w:val="19"/>
              </w:rPr>
              <w:t>16.82</w:t>
            </w:r>
          </w:p>
        </w:tc>
        <w:tc>
          <w:tcPr>
            <w:tcW w:type="dxa" w:w="1425"/>
            <w:vAlign w:val="center"/>
          </w:tcPr>
          <w:p>
            <w:r>
              <w:rPr>
                <w:sz w:val="19"/>
              </w:rPr>
              <w:t>6.32</w:t>
            </w:r>
          </w:p>
        </w:tc>
      </w:tr>
    </w:tbl>
    <w:p>
      <w:r>
        <w:t>The collector offsets 63-80 % of the condenser heat demand. SEC reduction is largest at Biratnagar (47.2 %) where both the solar resource (lower altitude, less cloud attenuation) and the high ambient temperature (smaller remaining heat-pump lift) compound. Kathmandu sees a 32.0 % reduction and Taplejung 39.2 %. Drying time changes by at most half an hour, consistent with the constraint identified in Section 1 that time is set by T_to_chamber and ambient RH rather than by the heat source.</w:t>
      </w:r>
    </w:p>
    <w:p>
      <w:pPr>
        <w:pStyle w:val="Heading2"/>
      </w:pPr>
      <w:r>
        <w:t>2.2  Seasonal performance (r = 0, A_c = 10 m^2)</w:t>
      </w:r>
    </w:p>
    <w:p>
      <w:r>
        <w:t>Table 2.2  Config B seasonal SEC (kWh/kg), r = 0, A_c = 10 m^2.</w:t>
      </w:r>
    </w:p>
    <w:tbl>
      <w:tblPr>
        <w:tblStyle w:val="LightGrid-Accent1"/>
        <w:tblW w:type="auto" w:w="0"/>
        <w:tblLayout w:type="autofit"/>
        <w:tblLook w:firstColumn="1" w:firstRow="1" w:lastColumn="0" w:lastRow="0" w:noHBand="0" w:noVBand="1" w:val="04A0"/>
      </w:tblPr>
      <w:tblGrid>
        <w:gridCol w:w="2493"/>
        <w:gridCol w:w="2493"/>
        <w:gridCol w:w="2493"/>
        <w:gridCol w:w="2493"/>
      </w:tblGrid>
      <w:tr>
        <w:tc>
          <w:tcPr>
            <w:tcW w:type="dxa" w:w="2493"/>
          </w:tcPr>
          <w:p>
            <w:r>
              <w:rPr>
                <w:b/>
                <w:sz w:val="20"/>
              </w:rPr>
              <w:t>Site</w:t>
            </w:r>
          </w:p>
        </w:tc>
        <w:tc>
          <w:tcPr>
            <w:tcW w:type="dxa" w:w="2493"/>
          </w:tcPr>
          <w:p>
            <w:r>
              <w:rPr>
                <w:b/>
                <w:sz w:val="20"/>
              </w:rPr>
              <w:t>Winter</w:t>
            </w:r>
          </w:p>
        </w:tc>
        <w:tc>
          <w:tcPr>
            <w:tcW w:type="dxa" w:w="2493"/>
          </w:tcPr>
          <w:p>
            <w:r>
              <w:rPr>
                <w:b/>
                <w:sz w:val="20"/>
              </w:rPr>
              <w:t>Spring</w:t>
            </w:r>
          </w:p>
        </w:tc>
        <w:tc>
          <w:tcPr>
            <w:tcW w:type="dxa" w:w="2493"/>
          </w:tcPr>
          <w:p>
            <w:r>
              <w:rPr>
                <w:b/>
                <w:sz w:val="20"/>
              </w:rPr>
              <w:t>Autumn</w:t>
            </w:r>
          </w:p>
        </w:tc>
      </w:tr>
      <w:tr>
        <w:tc>
          <w:tcPr>
            <w:tcW w:type="dxa" w:w="2493"/>
            <w:vAlign w:val="center"/>
          </w:tcPr>
          <w:p>
            <w:r>
              <w:rPr>
                <w:sz w:val="19"/>
              </w:rPr>
              <w:t>Biratnagar</w:t>
            </w:r>
          </w:p>
        </w:tc>
        <w:tc>
          <w:tcPr>
            <w:tcW w:type="dxa" w:w="2493"/>
            <w:vAlign w:val="center"/>
          </w:tcPr>
          <w:p>
            <w:r>
              <w:rPr>
                <w:sz w:val="19"/>
              </w:rPr>
              <w:t>0.240</w:t>
            </w:r>
          </w:p>
        </w:tc>
        <w:tc>
          <w:tcPr>
            <w:tcW w:type="dxa" w:w="2493"/>
            <w:vAlign w:val="center"/>
          </w:tcPr>
          <w:p>
            <w:r>
              <w:rPr>
                <w:sz w:val="19"/>
              </w:rPr>
              <w:t>0.128</w:t>
            </w:r>
          </w:p>
        </w:tc>
        <w:tc>
          <w:tcPr>
            <w:tcW w:type="dxa" w:w="2493"/>
            <w:vAlign w:val="center"/>
          </w:tcPr>
          <w:p>
            <w:r>
              <w:rPr>
                <w:sz w:val="19"/>
              </w:rPr>
              <w:t>0.267</w:t>
            </w:r>
          </w:p>
        </w:tc>
      </w:tr>
      <w:tr>
        <w:tc>
          <w:tcPr>
            <w:tcW w:type="dxa" w:w="2493"/>
            <w:vAlign w:val="center"/>
          </w:tcPr>
          <w:p>
            <w:r>
              <w:rPr>
                <w:sz w:val="19"/>
              </w:rPr>
              <w:t>Kathmandu</w:t>
            </w:r>
          </w:p>
        </w:tc>
        <w:tc>
          <w:tcPr>
            <w:tcW w:type="dxa" w:w="2493"/>
            <w:vAlign w:val="center"/>
          </w:tcPr>
          <w:p>
            <w:r>
              <w:rPr>
                <w:sz w:val="19"/>
              </w:rPr>
              <w:t>0.295</w:t>
            </w:r>
          </w:p>
        </w:tc>
        <w:tc>
          <w:tcPr>
            <w:tcW w:type="dxa" w:w="2493"/>
            <w:vAlign w:val="center"/>
          </w:tcPr>
          <w:p>
            <w:r>
              <w:rPr>
                <w:sz w:val="19"/>
              </w:rPr>
              <w:t>0.182</w:t>
            </w:r>
          </w:p>
        </w:tc>
        <w:tc>
          <w:tcPr>
            <w:tcW w:type="dxa" w:w="2493"/>
            <w:vAlign w:val="center"/>
          </w:tcPr>
          <w:p>
            <w:r>
              <w:rPr>
                <w:sz w:val="19"/>
              </w:rPr>
              <w:t>0.289</w:t>
            </w:r>
          </w:p>
        </w:tc>
      </w:tr>
      <w:tr>
        <w:tc>
          <w:tcPr>
            <w:tcW w:type="dxa" w:w="2493"/>
            <w:vAlign w:val="center"/>
          </w:tcPr>
          <w:p>
            <w:r>
              <w:rPr>
                <w:sz w:val="19"/>
              </w:rPr>
              <w:t>Taplejung</w:t>
            </w:r>
          </w:p>
        </w:tc>
        <w:tc>
          <w:tcPr>
            <w:tcW w:type="dxa" w:w="2493"/>
            <w:vAlign w:val="center"/>
          </w:tcPr>
          <w:p>
            <w:r>
              <w:rPr>
                <w:sz w:val="19"/>
              </w:rPr>
              <w:t>0.379</w:t>
            </w:r>
          </w:p>
        </w:tc>
        <w:tc>
          <w:tcPr>
            <w:tcW w:type="dxa" w:w="2493"/>
            <w:vAlign w:val="center"/>
          </w:tcPr>
          <w:p>
            <w:r>
              <w:rPr>
                <w:sz w:val="19"/>
              </w:rPr>
              <w:t>0.212</w:t>
            </w:r>
          </w:p>
        </w:tc>
        <w:tc>
          <w:tcPr>
            <w:tcW w:type="dxa" w:w="2493"/>
            <w:vAlign w:val="center"/>
          </w:tcPr>
          <w:p>
            <w:r>
              <w:rPr>
                <w:sz w:val="19"/>
              </w:rPr>
              <w:t>0.243</w:t>
            </w:r>
          </w:p>
        </w:tc>
      </w:tr>
    </w:tbl>
    <w:p>
      <w:r>
        <w:t>Table 2.3  Config B seasonal solar fraction, r = 0, A_c = 10 m^2.</w:t>
      </w:r>
    </w:p>
    <w:tbl>
      <w:tblPr>
        <w:tblStyle w:val="LightGrid-Accent1"/>
        <w:tblW w:type="auto" w:w="0"/>
        <w:tblLayout w:type="autofit"/>
        <w:tblLook w:firstColumn="1" w:firstRow="1" w:lastColumn="0" w:lastRow="0" w:noHBand="0" w:noVBand="1" w:val="04A0"/>
      </w:tblPr>
      <w:tblGrid>
        <w:gridCol w:w="2493"/>
        <w:gridCol w:w="2493"/>
        <w:gridCol w:w="2493"/>
        <w:gridCol w:w="2493"/>
      </w:tblGrid>
      <w:tr>
        <w:tc>
          <w:tcPr>
            <w:tcW w:type="dxa" w:w="2493"/>
          </w:tcPr>
          <w:p>
            <w:r>
              <w:rPr>
                <w:b/>
                <w:sz w:val="20"/>
              </w:rPr>
              <w:t>Site</w:t>
            </w:r>
          </w:p>
        </w:tc>
        <w:tc>
          <w:tcPr>
            <w:tcW w:type="dxa" w:w="2493"/>
          </w:tcPr>
          <w:p>
            <w:r>
              <w:rPr>
                <w:b/>
                <w:sz w:val="20"/>
              </w:rPr>
              <w:t>Winter</w:t>
            </w:r>
          </w:p>
        </w:tc>
        <w:tc>
          <w:tcPr>
            <w:tcW w:type="dxa" w:w="2493"/>
          </w:tcPr>
          <w:p>
            <w:r>
              <w:rPr>
                <w:b/>
                <w:sz w:val="20"/>
              </w:rPr>
              <w:t>Spring</w:t>
            </w:r>
          </w:p>
        </w:tc>
        <w:tc>
          <w:tcPr>
            <w:tcW w:type="dxa" w:w="2493"/>
          </w:tcPr>
          <w:p>
            <w:r>
              <w:rPr>
                <w:b/>
                <w:sz w:val="20"/>
              </w:rPr>
              <w:t>Autumn</w:t>
            </w:r>
          </w:p>
        </w:tc>
      </w:tr>
      <w:tr>
        <w:tc>
          <w:tcPr>
            <w:tcW w:type="dxa" w:w="2493"/>
            <w:vAlign w:val="center"/>
          </w:tcPr>
          <w:p>
            <w:r>
              <w:rPr>
                <w:sz w:val="19"/>
              </w:rPr>
              <w:t>Biratnagar</w:t>
            </w:r>
          </w:p>
        </w:tc>
        <w:tc>
          <w:tcPr>
            <w:tcW w:type="dxa" w:w="2493"/>
            <w:vAlign w:val="center"/>
          </w:tcPr>
          <w:p>
            <w:r>
              <w:rPr>
                <w:sz w:val="19"/>
              </w:rPr>
              <w:t>0.811</w:t>
            </w:r>
          </w:p>
        </w:tc>
        <w:tc>
          <w:tcPr>
            <w:tcW w:type="dxa" w:w="2493"/>
            <w:vAlign w:val="center"/>
          </w:tcPr>
          <w:p>
            <w:r>
              <w:rPr>
                <w:sz w:val="19"/>
              </w:rPr>
              <w:t>0.932</w:t>
            </w:r>
          </w:p>
        </w:tc>
        <w:tc>
          <w:tcPr>
            <w:tcW w:type="dxa" w:w="2493"/>
            <w:vAlign w:val="center"/>
          </w:tcPr>
          <w:p>
            <w:r>
              <w:rPr>
                <w:sz w:val="19"/>
              </w:rPr>
              <w:t>0.818</w:t>
            </w:r>
          </w:p>
        </w:tc>
      </w:tr>
      <w:tr>
        <w:tc>
          <w:tcPr>
            <w:tcW w:type="dxa" w:w="2493"/>
            <w:vAlign w:val="center"/>
          </w:tcPr>
          <w:p>
            <w:r>
              <w:rPr>
                <w:sz w:val="19"/>
              </w:rPr>
              <w:t>Kathmandu</w:t>
            </w:r>
          </w:p>
        </w:tc>
        <w:tc>
          <w:tcPr>
            <w:tcW w:type="dxa" w:w="2493"/>
            <w:vAlign w:val="center"/>
          </w:tcPr>
          <w:p>
            <w:r>
              <w:rPr>
                <w:sz w:val="19"/>
              </w:rPr>
              <w:t>0.798</w:t>
            </w:r>
          </w:p>
        </w:tc>
        <w:tc>
          <w:tcPr>
            <w:tcW w:type="dxa" w:w="2493"/>
            <w:vAlign w:val="center"/>
          </w:tcPr>
          <w:p>
            <w:r>
              <w:rPr>
                <w:sz w:val="19"/>
              </w:rPr>
              <w:t>0.904</w:t>
            </w:r>
          </w:p>
        </w:tc>
        <w:tc>
          <w:tcPr>
            <w:tcW w:type="dxa" w:w="2493"/>
            <w:vAlign w:val="center"/>
          </w:tcPr>
          <w:p>
            <w:r>
              <w:rPr>
                <w:sz w:val="19"/>
              </w:rPr>
              <w:t>0.814</w:t>
            </w:r>
          </w:p>
        </w:tc>
      </w:tr>
      <w:tr>
        <w:tc>
          <w:tcPr>
            <w:tcW w:type="dxa" w:w="2493"/>
            <w:vAlign w:val="center"/>
          </w:tcPr>
          <w:p>
            <w:r>
              <w:rPr>
                <w:sz w:val="19"/>
              </w:rPr>
              <w:t>Taplejung</w:t>
            </w:r>
          </w:p>
        </w:tc>
        <w:tc>
          <w:tcPr>
            <w:tcW w:type="dxa" w:w="2493"/>
            <w:vAlign w:val="center"/>
          </w:tcPr>
          <w:p>
            <w:r>
              <w:rPr>
                <w:sz w:val="19"/>
              </w:rPr>
              <w:t>0.721</w:t>
            </w:r>
          </w:p>
        </w:tc>
        <w:tc>
          <w:tcPr>
            <w:tcW w:type="dxa" w:w="2493"/>
            <w:vAlign w:val="center"/>
          </w:tcPr>
          <w:p>
            <w:r>
              <w:rPr>
                <w:sz w:val="19"/>
              </w:rPr>
              <w:t>0.875</w:t>
            </w:r>
          </w:p>
        </w:tc>
        <w:tc>
          <w:tcPr>
            <w:tcW w:type="dxa" w:w="2493"/>
            <w:vAlign w:val="center"/>
          </w:tcPr>
          <w:p>
            <w:r>
              <w:rPr>
                <w:sz w:val="19"/>
              </w:rPr>
              <w:t>0.856</w:t>
            </w:r>
          </w:p>
        </w:tc>
      </w:tr>
    </w:tbl>
    <w:p>
      <w:r>
        <w:t>Spring (Mar-Apr) delivers the lowest SEC at every site (0.128 kWh/kg at Biratnagar, 0.182 at Kathmandu, 0.212 at Taplejung) with solar fraction of 0.88-0.93. The combination of high irradiance, warm ambient, and moderate humidity gives the collector a large usable temperature rise. Winter SEC at Kathmandu (0.295) and Biratnagar (0.240) remains well below the annual values because the pre-monsoon and monsoon months (absent from these seasonal windows) drive the annual average up.</w:t>
      </w:r>
    </w:p>
    <w:p>
      <w:pPr>
        <w:pStyle w:val="Heading2"/>
      </w:pPr>
      <w:r>
        <w:t>2.3  Collector area</w:t>
      </w:r>
    </w:p>
    <w:p>
      <w:r>
        <w:t>Table 2.4  Config B SEC and solar fraction vs. collector area, r = 0, annual TMY.</w:t>
      </w:r>
    </w:p>
    <w:tbl>
      <w:tblPr>
        <w:tblStyle w:val="LightGrid-Accent1"/>
        <w:tblW w:type="auto" w:w="0"/>
        <w:tblLayout w:type="autofit"/>
        <w:tblLook w:firstColumn="1" w:firstRow="1" w:lastColumn="0" w:lastRow="0" w:noHBand="0" w:noVBand="1" w:val="04A0"/>
      </w:tblPr>
      <w:tblGrid>
        <w:gridCol w:w="1994"/>
        <w:gridCol w:w="1994"/>
        <w:gridCol w:w="1994"/>
        <w:gridCol w:w="1994"/>
        <w:gridCol w:w="1994"/>
      </w:tblGrid>
      <w:tr>
        <w:tc>
          <w:tcPr>
            <w:tcW w:type="dxa" w:w="1994"/>
          </w:tcPr>
          <w:p>
            <w:r>
              <w:rPr>
                <w:b/>
                <w:sz w:val="20"/>
              </w:rPr>
              <w:t>Site</w:t>
            </w:r>
          </w:p>
        </w:tc>
        <w:tc>
          <w:tcPr>
            <w:tcW w:type="dxa" w:w="1994"/>
          </w:tcPr>
          <w:p>
            <w:r>
              <w:rPr>
                <w:b/>
                <w:sz w:val="20"/>
              </w:rPr>
              <w:t>SEC @ 5 m^2</w:t>
            </w:r>
          </w:p>
        </w:tc>
        <w:tc>
          <w:tcPr>
            <w:tcW w:type="dxa" w:w="1994"/>
          </w:tcPr>
          <w:p>
            <w:r>
              <w:rPr>
                <w:b/>
                <w:sz w:val="20"/>
              </w:rPr>
              <w:t>SF @ 5 m^2</w:t>
            </w:r>
          </w:p>
        </w:tc>
        <w:tc>
          <w:tcPr>
            <w:tcW w:type="dxa" w:w="1994"/>
          </w:tcPr>
          <w:p>
            <w:r>
              <w:rPr>
                <w:b/>
                <w:sz w:val="20"/>
              </w:rPr>
              <w:t>SEC @ 10 m^2</w:t>
            </w:r>
          </w:p>
        </w:tc>
        <w:tc>
          <w:tcPr>
            <w:tcW w:type="dxa" w:w="1994"/>
          </w:tcPr>
          <w:p>
            <w:r>
              <w:rPr>
                <w:b/>
                <w:sz w:val="20"/>
              </w:rPr>
              <w:t>SF @ 10 m^2</w:t>
            </w:r>
          </w:p>
        </w:tc>
      </w:tr>
      <w:tr>
        <w:tc>
          <w:tcPr>
            <w:tcW w:type="dxa" w:w="1994"/>
            <w:vAlign w:val="center"/>
          </w:tcPr>
          <w:p>
            <w:r>
              <w:rPr>
                <w:sz w:val="19"/>
              </w:rPr>
              <w:t>Biratnagar</w:t>
            </w:r>
          </w:p>
        </w:tc>
        <w:tc>
          <w:tcPr>
            <w:tcW w:type="dxa" w:w="1994"/>
            <w:vAlign w:val="center"/>
          </w:tcPr>
          <w:p>
            <w:r>
              <w:rPr>
                <w:sz w:val="19"/>
              </w:rPr>
              <w:t>-</w:t>
            </w:r>
          </w:p>
        </w:tc>
        <w:tc>
          <w:tcPr>
            <w:tcW w:type="dxa" w:w="1994"/>
            <w:vAlign w:val="center"/>
          </w:tcPr>
          <w:p>
            <w:r>
              <w:rPr>
                <w:sz w:val="19"/>
              </w:rPr>
              <w:t>-</w:t>
            </w:r>
          </w:p>
        </w:tc>
        <w:tc>
          <w:tcPr>
            <w:tcW w:type="dxa" w:w="1994"/>
            <w:vAlign w:val="center"/>
          </w:tcPr>
          <w:p>
            <w:r>
              <w:rPr>
                <w:sz w:val="19"/>
              </w:rPr>
              <w:t>0.287</w:t>
            </w:r>
          </w:p>
        </w:tc>
        <w:tc>
          <w:tcPr>
            <w:tcW w:type="dxa" w:w="1994"/>
            <w:vAlign w:val="center"/>
          </w:tcPr>
          <w:p>
            <w:r>
              <w:rPr>
                <w:sz w:val="19"/>
              </w:rPr>
              <w:t>0.804</w:t>
            </w:r>
          </w:p>
        </w:tc>
      </w:tr>
      <w:tr>
        <w:tc>
          <w:tcPr>
            <w:tcW w:type="dxa" w:w="1994"/>
            <w:vAlign w:val="center"/>
          </w:tcPr>
          <w:p>
            <w:r>
              <w:rPr>
                <w:sz w:val="19"/>
              </w:rPr>
              <w:t>Kathmandu</w:t>
            </w:r>
          </w:p>
        </w:tc>
        <w:tc>
          <w:tcPr>
            <w:tcW w:type="dxa" w:w="1994"/>
            <w:vAlign w:val="center"/>
          </w:tcPr>
          <w:p>
            <w:r>
              <w:rPr>
                <w:sz w:val="19"/>
              </w:rPr>
              <w:t>0.589</w:t>
            </w:r>
          </w:p>
        </w:tc>
        <w:tc>
          <w:tcPr>
            <w:tcW w:type="dxa" w:w="1994"/>
            <w:vAlign w:val="center"/>
          </w:tcPr>
          <w:p>
            <w:r>
              <w:rPr>
                <w:sz w:val="19"/>
              </w:rPr>
              <w:t>0.437</w:t>
            </w:r>
          </w:p>
        </w:tc>
        <w:tc>
          <w:tcPr>
            <w:tcW w:type="dxa" w:w="1994"/>
            <w:vAlign w:val="center"/>
          </w:tcPr>
          <w:p>
            <w:r>
              <w:rPr>
                <w:sz w:val="19"/>
              </w:rPr>
              <w:t>0.488</w:t>
            </w:r>
          </w:p>
        </w:tc>
        <w:tc>
          <w:tcPr>
            <w:tcW w:type="dxa" w:w="1994"/>
            <w:vAlign w:val="center"/>
          </w:tcPr>
          <w:p>
            <w:r>
              <w:rPr>
                <w:sz w:val="19"/>
              </w:rPr>
              <w:t>0.627</w:t>
            </w:r>
          </w:p>
        </w:tc>
      </w:tr>
      <w:tr>
        <w:tc>
          <w:tcPr>
            <w:tcW w:type="dxa" w:w="1994"/>
            <w:vAlign w:val="center"/>
          </w:tcPr>
          <w:p>
            <w:r>
              <w:rPr>
                <w:sz w:val="19"/>
              </w:rPr>
              <w:t>Taplejung</w:t>
            </w:r>
          </w:p>
        </w:tc>
        <w:tc>
          <w:tcPr>
            <w:tcW w:type="dxa" w:w="1994"/>
            <w:vAlign w:val="center"/>
          </w:tcPr>
          <w:p>
            <w:r>
              <w:rPr>
                <w:sz w:val="19"/>
              </w:rPr>
              <w:t>-</w:t>
            </w:r>
          </w:p>
        </w:tc>
        <w:tc>
          <w:tcPr>
            <w:tcW w:type="dxa" w:w="1994"/>
            <w:vAlign w:val="center"/>
          </w:tcPr>
          <w:p>
            <w:r>
              <w:rPr>
                <w:sz w:val="19"/>
              </w:rPr>
              <w:t>-</w:t>
            </w:r>
          </w:p>
        </w:tc>
        <w:tc>
          <w:tcPr>
            <w:tcW w:type="dxa" w:w="1994"/>
            <w:vAlign w:val="center"/>
          </w:tcPr>
          <w:p>
            <w:r>
              <w:rPr>
                <w:sz w:val="19"/>
              </w:rPr>
              <w:t>0.344</w:t>
            </w:r>
          </w:p>
        </w:tc>
        <w:tc>
          <w:tcPr>
            <w:tcW w:type="dxa" w:w="1994"/>
            <w:vAlign w:val="center"/>
          </w:tcPr>
          <w:p>
            <w:r>
              <w:rPr>
                <w:sz w:val="19"/>
              </w:rPr>
              <w:t>0.716</w:t>
            </w:r>
          </w:p>
        </w:tc>
      </w:tr>
    </w:tbl>
    <w:p>
      <w:r>
        <w:t>Only Kathmandu has a simulated 5 m^2 case; doubling to 10 m^2 lifts solar fraction from 0.44 to 0.63 and drops SEC by 17.2 %. The response is sub-linear because the collector saturates once it can supply the full temperature rise on sunny hours: additional area then contributes only during shoulder hours and on cloudy days.</w:t>
      </w:r>
    </w:p>
    <w:p>
      <w:pPr>
        <w:pStyle w:val="Heading2"/>
      </w:pPr>
      <w:r>
        <w:t>2.4  Recirculation</w:t>
      </w:r>
    </w:p>
    <w:p>
      <w:r>
        <w:t>Table 2.5  Config B annual-TMY SEC (kWh/kg) vs. r, A_c = 10 m^2.</w:t>
      </w:r>
    </w:p>
    <w:tbl>
      <w:tblPr>
        <w:tblStyle w:val="LightGrid-Accent1"/>
        <w:tblW w:type="auto" w:w="0"/>
        <w:tblLayout w:type="autofit"/>
        <w:tblLook w:firstColumn="1" w:firstRow="1" w:lastColumn="0" w:lastRow="0" w:noHBand="0" w:noVBand="1" w:val="04A0"/>
      </w:tblPr>
      <w:tblGrid>
        <w:gridCol w:w="1425"/>
        <w:gridCol w:w="1425"/>
        <w:gridCol w:w="1425"/>
        <w:gridCol w:w="1425"/>
        <w:gridCol w:w="1425"/>
        <w:gridCol w:w="1425"/>
        <w:gridCol w:w="1425"/>
      </w:tblGrid>
      <w:tr>
        <w:tc>
          <w:tcPr>
            <w:tcW w:type="dxa" w:w="1425"/>
          </w:tcPr>
          <w:p>
            <w:r>
              <w:rPr>
                <w:b/>
                <w:sz w:val="20"/>
              </w:rPr>
              <w:t>Site</w:t>
            </w:r>
          </w:p>
        </w:tc>
        <w:tc>
          <w:tcPr>
            <w:tcW w:type="dxa" w:w="1425"/>
          </w:tcPr>
          <w:p>
            <w:r>
              <w:rPr>
                <w:b/>
                <w:sz w:val="20"/>
              </w:rPr>
              <w:t>r = 0.0</w:t>
            </w:r>
          </w:p>
        </w:tc>
        <w:tc>
          <w:tcPr>
            <w:tcW w:type="dxa" w:w="1425"/>
          </w:tcPr>
          <w:p>
            <w:r>
              <w:rPr>
                <w:b/>
                <w:sz w:val="20"/>
              </w:rPr>
              <w:t>r = 0.3</w:t>
            </w:r>
          </w:p>
        </w:tc>
        <w:tc>
          <w:tcPr>
            <w:tcW w:type="dxa" w:w="1425"/>
          </w:tcPr>
          <w:p>
            <w:r>
              <w:rPr>
                <w:b/>
                <w:sz w:val="20"/>
              </w:rPr>
              <w:t>r = 0.5</w:t>
            </w:r>
          </w:p>
        </w:tc>
        <w:tc>
          <w:tcPr>
            <w:tcW w:type="dxa" w:w="1425"/>
          </w:tcPr>
          <w:p>
            <w:r>
              <w:rPr>
                <w:b/>
                <w:sz w:val="20"/>
              </w:rPr>
              <w:t>r = 0.7</w:t>
            </w:r>
          </w:p>
        </w:tc>
        <w:tc>
          <w:tcPr>
            <w:tcW w:type="dxa" w:w="1425"/>
          </w:tcPr>
          <w:p>
            <w:r>
              <w:rPr>
                <w:b/>
                <w:sz w:val="20"/>
              </w:rPr>
              <w:t>r = 0.9</w:t>
            </w:r>
          </w:p>
        </w:tc>
        <w:tc>
          <w:tcPr>
            <w:tcW w:type="dxa" w:w="1425"/>
          </w:tcPr>
          <w:p>
            <w:r>
              <w:rPr>
                <w:b/>
                <w:sz w:val="20"/>
              </w:rPr>
              <w:t>r = 1.0</w:t>
            </w:r>
          </w:p>
        </w:tc>
      </w:tr>
      <w:tr>
        <w:tc>
          <w:tcPr>
            <w:tcW w:type="dxa" w:w="1425"/>
            <w:vAlign w:val="center"/>
          </w:tcPr>
          <w:p>
            <w:r>
              <w:rPr>
                <w:sz w:val="19"/>
              </w:rPr>
              <w:t>Biratnagar</w:t>
            </w:r>
          </w:p>
        </w:tc>
        <w:tc>
          <w:tcPr>
            <w:tcW w:type="dxa" w:w="1425"/>
            <w:vAlign w:val="center"/>
          </w:tcPr>
          <w:p>
            <w:r>
              <w:rPr>
                <w:sz w:val="19"/>
              </w:rPr>
              <w:t>0.287</w:t>
            </w:r>
          </w:p>
        </w:tc>
        <w:tc>
          <w:tcPr>
            <w:tcW w:type="dxa" w:w="1425"/>
            <w:vAlign w:val="center"/>
          </w:tcPr>
          <w:p>
            <w:r>
              <w:rPr>
                <w:sz w:val="19"/>
              </w:rPr>
              <w:t>0.568</w:t>
            </w:r>
          </w:p>
        </w:tc>
        <w:tc>
          <w:tcPr>
            <w:tcW w:type="dxa" w:w="1425"/>
            <w:vAlign w:val="center"/>
          </w:tcPr>
          <w:p>
            <w:r>
              <w:rPr>
                <w:sz w:val="19"/>
              </w:rPr>
              <w:t>0.618</w:t>
            </w:r>
          </w:p>
        </w:tc>
        <w:tc>
          <w:tcPr>
            <w:tcW w:type="dxa" w:w="1425"/>
            <w:vAlign w:val="center"/>
          </w:tcPr>
          <w:p>
            <w:r>
              <w:rPr>
                <w:sz w:val="19"/>
              </w:rPr>
              <w:t>0.431</w:t>
            </w:r>
          </w:p>
        </w:tc>
        <w:tc>
          <w:tcPr>
            <w:tcW w:type="dxa" w:w="1425"/>
            <w:vAlign w:val="center"/>
          </w:tcPr>
          <w:p>
            <w:r>
              <w:rPr>
                <w:sz w:val="19"/>
              </w:rPr>
              <w:t>0.423</w:t>
            </w:r>
          </w:p>
        </w:tc>
        <w:tc>
          <w:tcPr>
            <w:tcW w:type="dxa" w:w="1425"/>
            <w:vAlign w:val="center"/>
          </w:tcPr>
          <w:p>
            <w:r>
              <w:rPr>
                <w:sz w:val="19"/>
              </w:rPr>
              <w:t>0.423</w:t>
            </w:r>
          </w:p>
        </w:tc>
      </w:tr>
      <w:tr>
        <w:tc>
          <w:tcPr>
            <w:tcW w:type="dxa" w:w="1425"/>
            <w:vAlign w:val="center"/>
          </w:tcPr>
          <w:p>
            <w:r>
              <w:rPr>
                <w:sz w:val="19"/>
              </w:rPr>
              <w:t>Kathmandu</w:t>
            </w:r>
          </w:p>
        </w:tc>
        <w:tc>
          <w:tcPr>
            <w:tcW w:type="dxa" w:w="1425"/>
            <w:vAlign w:val="center"/>
          </w:tcPr>
          <w:p>
            <w:r>
              <w:rPr>
                <w:sz w:val="19"/>
              </w:rPr>
              <w:t>0.488</w:t>
            </w:r>
          </w:p>
        </w:tc>
        <w:tc>
          <w:tcPr>
            <w:tcW w:type="dxa" w:w="1425"/>
            <w:vAlign w:val="center"/>
          </w:tcPr>
          <w:p>
            <w:r>
              <w:rPr>
                <w:sz w:val="19"/>
              </w:rPr>
              <w:t>0.392</w:t>
            </w:r>
          </w:p>
        </w:tc>
        <w:tc>
          <w:tcPr>
            <w:tcW w:type="dxa" w:w="1425"/>
            <w:vAlign w:val="center"/>
          </w:tcPr>
          <w:p>
            <w:r>
              <w:rPr>
                <w:sz w:val="19"/>
              </w:rPr>
              <w:t>0.416</w:t>
            </w:r>
          </w:p>
        </w:tc>
        <w:tc>
          <w:tcPr>
            <w:tcW w:type="dxa" w:w="1425"/>
            <w:vAlign w:val="center"/>
          </w:tcPr>
          <w:p>
            <w:r>
              <w:rPr>
                <w:sz w:val="19"/>
              </w:rPr>
              <w:t>0.460</w:t>
            </w:r>
          </w:p>
        </w:tc>
        <w:tc>
          <w:tcPr>
            <w:tcW w:type="dxa" w:w="1425"/>
            <w:vAlign w:val="center"/>
          </w:tcPr>
          <w:p>
            <w:r>
              <w:rPr>
                <w:sz w:val="19"/>
              </w:rPr>
              <w:t>0.469</w:t>
            </w:r>
          </w:p>
        </w:tc>
        <w:tc>
          <w:tcPr>
            <w:tcW w:type="dxa" w:w="1425"/>
            <w:vAlign w:val="center"/>
          </w:tcPr>
          <w:p>
            <w:r>
              <w:rPr>
                <w:sz w:val="19"/>
              </w:rPr>
              <w:t>0.477</w:t>
            </w:r>
          </w:p>
        </w:tc>
      </w:tr>
      <w:tr>
        <w:tc>
          <w:tcPr>
            <w:tcW w:type="dxa" w:w="1425"/>
            <w:vAlign w:val="center"/>
          </w:tcPr>
          <w:p>
            <w:r>
              <w:rPr>
                <w:sz w:val="19"/>
              </w:rPr>
              <w:t>Taplejung</w:t>
            </w:r>
          </w:p>
        </w:tc>
        <w:tc>
          <w:tcPr>
            <w:tcW w:type="dxa" w:w="1425"/>
            <w:vAlign w:val="center"/>
          </w:tcPr>
          <w:p>
            <w:r>
              <w:rPr>
                <w:sz w:val="19"/>
              </w:rPr>
              <w:t>0.344</w:t>
            </w:r>
          </w:p>
        </w:tc>
        <w:tc>
          <w:tcPr>
            <w:tcW w:type="dxa" w:w="1425"/>
            <w:vAlign w:val="center"/>
          </w:tcPr>
          <w:p>
            <w:r>
              <w:rPr>
                <w:sz w:val="19"/>
              </w:rPr>
              <w:t>-</w:t>
            </w:r>
          </w:p>
        </w:tc>
        <w:tc>
          <w:tcPr>
            <w:tcW w:type="dxa" w:w="1425"/>
            <w:vAlign w:val="center"/>
          </w:tcPr>
          <w:p>
            <w:r>
              <w:rPr>
                <w:sz w:val="19"/>
              </w:rPr>
              <w:t>-</w:t>
            </w:r>
          </w:p>
        </w:tc>
        <w:tc>
          <w:tcPr>
            <w:tcW w:type="dxa" w:w="1425"/>
            <w:vAlign w:val="center"/>
          </w:tcPr>
          <w:p>
            <w:r>
              <w:rPr>
                <w:sz w:val="19"/>
              </w:rPr>
              <w:t>-</w:t>
            </w:r>
          </w:p>
        </w:tc>
        <w:tc>
          <w:tcPr>
            <w:tcW w:type="dxa" w:w="1425"/>
            <w:vAlign w:val="center"/>
          </w:tcPr>
          <w:p>
            <w:r>
              <w:rPr>
                <w:sz w:val="19"/>
              </w:rPr>
              <w:t>0.416</w:t>
            </w:r>
          </w:p>
        </w:tc>
        <w:tc>
          <w:tcPr>
            <w:tcW w:type="dxa" w:w="1425"/>
            <w:vAlign w:val="center"/>
          </w:tcPr>
          <w:p>
            <w:r>
              <w:rPr>
                <w:sz w:val="19"/>
              </w:rPr>
              <w:t>0.418</w:t>
            </w:r>
          </w:p>
        </w:tc>
      </w:tr>
    </w:tbl>
    <w:p>
      <w:r>
        <w:t>Recirculation raises SEC at every site in Config B. At Biratnagar, SEC rises from 0.287 at r = 0 to 0.423 at r = 0.9 (47 % increase). At Kathmandu it rises from 0.488 to a minimum of 0.386 at r = 0.2 then climbs back to 0.469 at r = 0.9. Taplejung shows a 21 % increase at r = 0.9.</w:t>
      </w:r>
    </w:p>
    <w:p>
      <w:r>
        <w:t>The mechanism is the same evaporator-collector interaction across both components. In closed-loop the evaporator cools the mixed air to roughly 12 deg C for dehumidification. The collector then has to reheat this cold stream before the condenser, so a share of the solar heat is spent undoing evaporator cooling rather than displacing compressor work. The solar fraction drops accordingly, from 0.80 at r = 0 at Biratnagar to 0.76 at r = 0.9, and the compressor pulls the remaining lift. Kathmandu's shallow minimum at r = 0.2-0.3 is where the small dehumidification gain on cold, high-RH hours still outweighs the collector penalty; at higher r the penalty dominates.</w:t>
      </w:r>
    </w:p>
    <w:p>
      <w:pPr>
        <w:pStyle w:val="Heading2"/>
      </w:pPr>
      <w:r>
        <w:t>2.5  Takeaways</w:t>
      </w:r>
    </w:p>
    <w:p>
      <w:pPr>
        <w:pStyle w:val="ListBullet"/>
      </w:pPr>
      <w:r>
        <w:t>Open-loop with A_c = 10 m^2 is the design point. Annual SEC reaches 0.287 kWh/kg at Biratnagar, 0.344 at Taplejung, and 0.488 at Kathmandu, with solar fractions 0.63-0.80.</w:t>
      </w:r>
    </w:p>
    <w:p>
      <w:pPr>
        <w:pStyle w:val="ListBullet"/>
      </w:pPr>
      <w:r>
        <w:t>The collector saturates between 5 and 10 m^2 for this thermal load. Larger areas would chase diminishing returns at an increased capital cost.</w:t>
      </w:r>
    </w:p>
    <w:p>
      <w:pPr>
        <w:pStyle w:val="ListBullet"/>
      </w:pPr>
      <w:r>
        <w:t>Closed-loop degrades Config B at every site and season, because the evaporator and the collector end up acting on the same air stream in opposite directions. This observation motivates the cascade arrangements in Section 3, which separate the two components onto different streams.</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