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 and Discussion</w:t>
      </w:r>
    </w:p>
    <w:p>
      <w:pPr>
        <w:pStyle w:val="Heading1"/>
      </w:pPr>
      <w:r>
        <w:t>Section 2: VPD Bypass Optimisation</w:t>
      </w:r>
    </w:p>
    <w:p>
      <w:r>
        <w:rPr>
          <w:b w:val="0"/>
          <w:i w:val="0"/>
          <w:sz w:val="22"/>
        </w:rPr>
        <w:t>This section investigates a controls-level strategy to reduce specific energy consumption (SEC) by bypassing the heat pump’s evaporator or the heat recovery exchanger during periods of low drying potential. The strategy is applied to Config A (closed-loop), D1/D2 (HRX + HP), and E1/E2 (HRX + Solar + HP). A systematic threshold sweep identifies the optimal operating point that balances SEC reduction against drying time increase.</w:t>
      </w:r>
    </w:p>
    <w:p>
      <w:pPr>
        <w:pStyle w:val="Heading2"/>
      </w:pPr>
      <w:r>
        <w:t>2.1  The Late-Drying Inefficiency Problem</w:t>
      </w:r>
    </w:p>
    <w:p>
      <w:r>
        <w:rPr>
          <w:b w:val="0"/>
          <w:i w:val="0"/>
          <w:sz w:val="22"/>
        </w:rPr>
        <w:t>Section 1.7 demonstrated that the evaporator’s dehumidification effectiveness declines sharply as drying progresses. In late-stage drying, the product has low moisture content, the exhaust air is only marginally more humid than the inlet, and the evaporator continues cooling the air without meaningful moisture removal. This wastes compressor energy on cooling that must then be undone by the condenser.</w:t>
      </w:r>
    </w:p>
    <w:p>
      <w:r>
        <w:rPr>
          <w:b w:val="0"/>
          <w:i w:val="0"/>
          <w:sz w:val="22"/>
        </w:rPr>
        <w:t>The same problem affects the open-loop D and E configurations. In late drying, the chamber exhaust carries very little additional moisture. The heat recovery exchanger (HRX) pre-warms the inlet air using this exhaust, but the benefit diminishes when there is little temperature or humidity difference between streams. Meanwhile, the heat pump continues to heat ambient air from the HRX outlet to T_set, consuming energy that scales with drying time rather than moisture removal.</w:t>
      </w:r>
    </w:p>
    <w:p>
      <w:r>
        <w:rPr>
          <w:b w:val="0"/>
          <w:i w:val="0"/>
          <w:sz w:val="22"/>
        </w:rPr>
        <w:t>Two questions arise: (1) Can we detect when the air is no longer being productively used? (2) Can we reduce energy consumption during these periods without unacceptably extending drying time?</w:t>
      </w:r>
    </w:p>
    <w:p>
      <w:pPr>
        <w:pStyle w:val="Heading2"/>
      </w:pPr>
      <w:r>
        <w:t>2.2  VPD Bypass Strategy — Mechanism</w:t>
      </w:r>
    </w:p>
    <w:p>
      <w:r>
        <w:rPr>
          <w:b w:val="0"/>
          <w:i w:val="0"/>
          <w:sz w:val="22"/>
        </w:rPr>
        <w:t>Two related bypass strategies were developed, each using a Vapour Pressure Deficit (VPD) criterion to detect when the drying air is under-utilised.</w:t>
      </w:r>
    </w:p>
    <w:p>
      <w:r>
        <w:rPr>
          <w:b/>
          <w:i w:val="0"/>
          <w:sz w:val="22"/>
        </w:rPr>
        <w:t>Condenser-direct bypass (Config A, r &gt; 0)</w:t>
      </w:r>
    </w:p>
    <w:p>
      <w:pPr>
        <w:jc w:val="center"/>
      </w:pPr>
      <w:r>
        <w:rPr>
          <w:b/>
          <w:sz w:val="24"/>
        </w:rPr>
        <w:t>[DIAGRAM: Config A condenser-direct bypass schematic]</w:t>
      </w:r>
    </w:p>
    <w:p>
      <w:pPr>
        <w:jc w:val="center"/>
      </w:pPr>
      <w:r>
        <w:rPr>
          <w:i/>
          <w:sz w:val="18"/>
        </w:rPr>
        <w:t>Figure 2.1: Config A condenser-direct bypass. Left: normal evaporator path. Right: bypass mode — warm exhaust routes directly to condenser, evaporator runs on ambient as heat source only.</w:t>
      </w:r>
    </w:p>
    <w:p>
      <w:r>
        <w:rPr>
          <w:b w:val="0"/>
          <w:i w:val="0"/>
          <w:sz w:val="22"/>
        </w:rPr>
        <w:t>The condenser penalty fraction estimates how much the evaporator improves the air’s drying potential compared to simply recirculating the exhaust directly:</w:t>
      </w:r>
    </w:p>
    <w:p>
      <w:r>
        <w:rPr>
          <w:b w:val="0"/>
          <w:i/>
          <w:sz w:val="22"/>
        </w:rPr>
        <w:t>cond_penalty = (VPD_post_evap − VPD_exhaust) / VPD_post_evap</w:t>
      </w:r>
    </w:p>
    <w:p>
      <w:r>
        <w:rPr>
          <w:b w:val="0"/>
          <w:i w:val="0"/>
          <w:sz w:val="22"/>
        </w:rPr>
        <w:t>where VPD is evaluated at T_set for both streams. When this fraction falls below a threshold (i.e. the evaporator barely improves drying potential), the system switches to condenser-direct mode: warm exhaust (~43 °C) is routed directly to the condenser, which needs only ~2 K of reheating (Q_cond ≈ 0.2 kW vs ~2 kW in normal mode). The evaporator switches to drawing heat from ambient air (sensible heat source only, no dehumidification).</w:t>
      </w:r>
    </w:p>
    <w:p>
      <w:r>
        <w:rPr>
          <w:b w:val="0"/>
          <w:i w:val="0"/>
          <w:sz w:val="22"/>
        </w:rPr>
        <w:t>Humidity accumulates in the closed loop during bypass. When the condenser penalty rises above 3× the threshold, the system switches back to normal evaporator mode for dehumidification. A minimum dwell time of 300 s prevents rapid oscillation.</w:t>
      </w:r>
    </w:p>
    <w:p>
      <w:r>
        <w:rPr>
          <w:b/>
          <w:i w:val="0"/>
          <w:sz w:val="22"/>
        </w:rPr>
        <w:t>Exhaust bypass (Configs D/E, r = 0)</w:t>
      </w:r>
    </w:p>
    <w:p>
      <w:pPr>
        <w:jc w:val="center"/>
      </w:pPr>
      <w:r>
        <w:rPr>
          <w:b/>
          <w:sz w:val="24"/>
        </w:rPr>
        <w:t>[DIAGRAM: Config D/E exhaust bypass schematic]</w:t>
      </w:r>
    </w:p>
    <w:p>
      <w:pPr>
        <w:jc w:val="center"/>
      </w:pPr>
      <w:r>
        <w:rPr>
          <w:i/>
          <w:sz w:val="18"/>
        </w:rPr>
        <w:t>Figure 2.2: Config D exhaust bypass. Left: normal HRX path. Right: bypass mode — warm exhaust routes directly to condenser, bypassing the HRX.</w:t>
      </w:r>
    </w:p>
    <w:p>
      <w:r>
        <w:rPr>
          <w:b w:val="0"/>
          <w:i w:val="0"/>
          <w:sz w:val="22"/>
        </w:rPr>
        <w:t>For open-loop D and E configurations, the VPD utilisation metric measures the fraction of the inlet air’s drying potential that is consumed by the chamber:</w:t>
      </w:r>
    </w:p>
    <w:p>
      <w:r>
        <w:rPr>
          <w:b w:val="0"/>
          <w:i/>
          <w:sz w:val="22"/>
        </w:rPr>
        <w:t>utilisation = 1 − VPD_exhaust / VPD_inlet</w:t>
      </w:r>
    </w:p>
    <w:p>
      <w:r>
        <w:rPr>
          <w:b w:val="0"/>
          <w:i w:val="0"/>
          <w:sz w:val="22"/>
        </w:rPr>
        <w:t>High utilisation indicates the air is picking up significant moisture (early drying). Low utilisation means the air passes through nearly unchanged (late drying). When utilisation falls below the threshold, the warm exhaust (~40 °C) is routed directly to the condenser, bypassing the HRX. The condenser provides a small temperature lift (~5 K), dramatically reducing compressor work. When utilisation rises above 3× the threshold, the system reverts to normal HRX operation. Dwell time is 600 s.</w:t>
      </w:r>
    </w:p>
    <w:p>
      <w:pPr>
        <w:pStyle w:val="Heading2"/>
      </w:pPr>
      <w:r>
        <w:t>2.3  Config A (r = 0.9): Condenser-Direct Bypass</w:t>
      </w:r>
    </w:p>
    <w:p>
      <w:r>
        <w:rPr>
          <w:b w:val="0"/>
          <w:i w:val="0"/>
          <w:sz w:val="22"/>
        </w:rPr>
        <w:t>A sweep of the condenser penalty threshold was conducted for Config A at r = 0.9 across both locations. Table 2.1 presents SEC and drying time as a function of threshold.</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KTM SEC</w:t>
            </w:r>
          </w:p>
        </w:tc>
        <w:tc>
          <w:tcPr>
            <w:tcW w:type="dxa" w:w="1234"/>
          </w:tcPr>
          <w:p>
            <w:r>
              <w:rPr>
                <w:b/>
                <w:sz w:val="18"/>
              </w:rPr>
              <w:t>KTM time (h)</w:t>
            </w:r>
          </w:p>
        </w:tc>
        <w:tc>
          <w:tcPr>
            <w:tcW w:type="dxa" w:w="1234"/>
          </w:tcPr>
          <w:p>
            <w:r>
              <w:rPr>
                <w:b/>
                <w:sz w:val="18"/>
              </w:rPr>
              <w:t>KTM ΔSEC</w:t>
            </w:r>
          </w:p>
        </w:tc>
        <w:tc>
          <w:tcPr>
            <w:tcW w:type="dxa" w:w="1234"/>
          </w:tcPr>
          <w:p>
            <w:r>
              <w:rPr>
                <w:b/>
                <w:sz w:val="18"/>
              </w:rPr>
              <w:t>BTN SEC</w:t>
            </w:r>
          </w:p>
        </w:tc>
        <w:tc>
          <w:tcPr>
            <w:tcW w:type="dxa" w:w="1234"/>
          </w:tcPr>
          <w:p>
            <w:r>
              <w:rPr>
                <w:b/>
                <w:sz w:val="18"/>
              </w:rPr>
              <w:t>BTN time (h)</w:t>
            </w:r>
          </w:p>
        </w:tc>
        <w:tc>
          <w:tcPr>
            <w:tcW w:type="dxa" w:w="1234"/>
          </w:tcPr>
          <w:p>
            <w:r>
              <w:rPr>
                <w:b/>
                <w:sz w:val="18"/>
              </w:rPr>
              <w:t>BTN ΔSEC</w:t>
            </w:r>
          </w:p>
        </w:tc>
      </w:tr>
      <w:tr>
        <w:tc>
          <w:tcPr>
            <w:tcW w:type="dxa" w:w="1234"/>
          </w:tcPr>
          <w:p>
            <w:r>
              <w:rPr>
                <w:sz w:val="18"/>
              </w:rPr>
              <w:t>OFF</w:t>
            </w:r>
          </w:p>
        </w:tc>
        <w:tc>
          <w:tcPr>
            <w:tcW w:type="dxa" w:w="1234"/>
          </w:tcPr>
          <w:p>
            <w:r>
              <w:rPr>
                <w:sz w:val="18"/>
              </w:rPr>
              <w:t>0.669</w:t>
            </w:r>
          </w:p>
        </w:tc>
        <w:tc>
          <w:tcPr>
            <w:tcW w:type="dxa" w:w="1234"/>
          </w:tcPr>
          <w:p>
            <w:r>
              <w:rPr>
                <w:sz w:val="18"/>
              </w:rPr>
              <w:t>14.9</w:t>
            </w:r>
          </w:p>
        </w:tc>
        <w:tc>
          <w:tcPr>
            <w:tcW w:type="dxa" w:w="1234"/>
          </w:tcPr>
          <w:p>
            <w:r>
              <w:rPr>
                <w:sz w:val="18"/>
              </w:rPr>
              <w:t>—</w:t>
            </w:r>
          </w:p>
        </w:tc>
        <w:tc>
          <w:tcPr>
            <w:tcW w:type="dxa" w:w="1234"/>
          </w:tcPr>
          <w:p>
            <w:r>
              <w:rPr>
                <w:sz w:val="18"/>
              </w:rPr>
              <w:t>0.753</w:t>
            </w:r>
          </w:p>
        </w:tc>
        <w:tc>
          <w:tcPr>
            <w:tcW w:type="dxa" w:w="1234"/>
          </w:tcPr>
          <w:p>
            <w:r>
              <w:rPr>
                <w:sz w:val="18"/>
              </w:rPr>
              <w:t>14.6</w:t>
            </w:r>
          </w:p>
        </w:tc>
        <w:tc>
          <w:tcPr>
            <w:tcW w:type="dxa" w:w="1234"/>
          </w:tcPr>
          <w:p>
            <w:r>
              <w:rPr>
                <w:sz w:val="18"/>
              </w:rPr>
              <w:t>—</w:t>
            </w:r>
          </w:p>
        </w:tc>
      </w:tr>
      <w:tr>
        <w:tc>
          <w:tcPr>
            <w:tcW w:type="dxa" w:w="1234"/>
          </w:tcPr>
          <w:p>
            <w:r>
              <w:rPr>
                <w:sz w:val="18"/>
              </w:rPr>
              <w:t>0.01</w:t>
            </w:r>
          </w:p>
        </w:tc>
        <w:tc>
          <w:tcPr>
            <w:tcW w:type="dxa" w:w="1234"/>
          </w:tcPr>
          <w:p>
            <w:r>
              <w:rPr>
                <w:sz w:val="18"/>
              </w:rPr>
              <w:t>0.669</w:t>
            </w:r>
          </w:p>
        </w:tc>
        <w:tc>
          <w:tcPr>
            <w:tcW w:type="dxa" w:w="1234"/>
          </w:tcPr>
          <w:p>
            <w:r>
              <w:rPr>
                <w:sz w:val="18"/>
              </w:rPr>
              <w:t>14.9</w:t>
            </w:r>
          </w:p>
        </w:tc>
        <w:tc>
          <w:tcPr>
            <w:tcW w:type="dxa" w:w="1234"/>
          </w:tcPr>
          <w:p>
            <w:r>
              <w:rPr>
                <w:sz w:val="18"/>
              </w:rPr>
              <w:t>0%</w:t>
            </w:r>
          </w:p>
        </w:tc>
        <w:tc>
          <w:tcPr>
            <w:tcW w:type="dxa" w:w="1234"/>
          </w:tcPr>
          <w:p>
            <w:r>
              <w:rPr>
                <w:sz w:val="18"/>
              </w:rPr>
              <w:t>0.753</w:t>
            </w:r>
          </w:p>
        </w:tc>
        <w:tc>
          <w:tcPr>
            <w:tcW w:type="dxa" w:w="1234"/>
          </w:tcPr>
          <w:p>
            <w:r>
              <w:rPr>
                <w:sz w:val="18"/>
              </w:rPr>
              <w:t>14.6</w:t>
            </w:r>
          </w:p>
        </w:tc>
        <w:tc>
          <w:tcPr>
            <w:tcW w:type="dxa" w:w="1234"/>
          </w:tcPr>
          <w:p>
            <w:r>
              <w:rPr>
                <w:sz w:val="18"/>
              </w:rPr>
              <w:t>0%</w:t>
            </w:r>
          </w:p>
        </w:tc>
      </w:tr>
      <w:tr>
        <w:tc>
          <w:tcPr>
            <w:tcW w:type="dxa" w:w="1234"/>
          </w:tcPr>
          <w:p>
            <w:r>
              <w:rPr>
                <w:sz w:val="18"/>
              </w:rPr>
              <w:t>0.02</w:t>
            </w:r>
          </w:p>
        </w:tc>
        <w:tc>
          <w:tcPr>
            <w:tcW w:type="dxa" w:w="1234"/>
          </w:tcPr>
          <w:p>
            <w:r>
              <w:rPr>
                <w:sz w:val="18"/>
              </w:rPr>
              <w:t>0.650</w:t>
            </w:r>
          </w:p>
        </w:tc>
        <w:tc>
          <w:tcPr>
            <w:tcW w:type="dxa" w:w="1234"/>
          </w:tcPr>
          <w:p>
            <w:r>
              <w:rPr>
                <w:sz w:val="18"/>
              </w:rPr>
              <w:t>14.9</w:t>
            </w:r>
          </w:p>
        </w:tc>
        <w:tc>
          <w:tcPr>
            <w:tcW w:type="dxa" w:w="1234"/>
          </w:tcPr>
          <w:p>
            <w:r>
              <w:rPr>
                <w:sz w:val="18"/>
              </w:rPr>
              <w:t>−2.8%</w:t>
            </w:r>
          </w:p>
        </w:tc>
        <w:tc>
          <w:tcPr>
            <w:tcW w:type="dxa" w:w="1234"/>
          </w:tcPr>
          <w:p>
            <w:r>
              <w:rPr>
                <w:sz w:val="18"/>
              </w:rPr>
              <w:t>0.753</w:t>
            </w:r>
          </w:p>
        </w:tc>
        <w:tc>
          <w:tcPr>
            <w:tcW w:type="dxa" w:w="1234"/>
          </w:tcPr>
          <w:p>
            <w:r>
              <w:rPr>
                <w:sz w:val="18"/>
              </w:rPr>
              <w:t>14.6</w:t>
            </w:r>
          </w:p>
        </w:tc>
        <w:tc>
          <w:tcPr>
            <w:tcW w:type="dxa" w:w="1234"/>
          </w:tcPr>
          <w:p>
            <w:r>
              <w:rPr>
                <w:sz w:val="18"/>
              </w:rPr>
              <w:t>0%</w:t>
            </w:r>
          </w:p>
        </w:tc>
      </w:tr>
      <w:tr>
        <w:tc>
          <w:tcPr>
            <w:tcW w:type="dxa" w:w="1234"/>
          </w:tcPr>
          <w:p>
            <w:r>
              <w:rPr>
                <w:sz w:val="18"/>
              </w:rPr>
              <w:t>0.05</w:t>
            </w:r>
          </w:p>
        </w:tc>
        <w:tc>
          <w:tcPr>
            <w:tcW w:type="dxa" w:w="1234"/>
          </w:tcPr>
          <w:p>
            <w:r>
              <w:rPr>
                <w:sz w:val="18"/>
              </w:rPr>
              <w:t>0.536</w:t>
            </w:r>
          </w:p>
        </w:tc>
        <w:tc>
          <w:tcPr>
            <w:tcW w:type="dxa" w:w="1234"/>
          </w:tcPr>
          <w:p>
            <w:r>
              <w:rPr>
                <w:sz w:val="18"/>
              </w:rPr>
              <w:t>15.6</w:t>
            </w:r>
          </w:p>
        </w:tc>
        <w:tc>
          <w:tcPr>
            <w:tcW w:type="dxa" w:w="1234"/>
          </w:tcPr>
          <w:p>
            <w:r>
              <w:rPr>
                <w:sz w:val="18"/>
              </w:rPr>
              <w:t>−19.7%</w:t>
            </w:r>
          </w:p>
        </w:tc>
        <w:tc>
          <w:tcPr>
            <w:tcW w:type="dxa" w:w="1234"/>
          </w:tcPr>
          <w:p>
            <w:r>
              <w:rPr>
                <w:sz w:val="18"/>
              </w:rPr>
              <w:t>0.617</w:t>
            </w:r>
          </w:p>
        </w:tc>
        <w:tc>
          <w:tcPr>
            <w:tcW w:type="dxa" w:w="1234"/>
          </w:tcPr>
          <w:p>
            <w:r>
              <w:rPr>
                <w:sz w:val="18"/>
              </w:rPr>
              <w:t>15.3</w:t>
            </w:r>
          </w:p>
        </w:tc>
        <w:tc>
          <w:tcPr>
            <w:tcW w:type="dxa" w:w="1234"/>
          </w:tcPr>
          <w:p>
            <w:r>
              <w:rPr>
                <w:sz w:val="18"/>
              </w:rPr>
              <w:t>−18.1%</w:t>
            </w:r>
          </w:p>
        </w:tc>
      </w:tr>
      <w:tr>
        <w:tc>
          <w:tcPr>
            <w:tcW w:type="dxa" w:w="1234"/>
          </w:tcPr>
          <w:p>
            <w:r>
              <w:rPr>
                <w:sz w:val="18"/>
              </w:rPr>
              <w:t>0.10</w:t>
            </w:r>
          </w:p>
        </w:tc>
        <w:tc>
          <w:tcPr>
            <w:tcW w:type="dxa" w:w="1234"/>
          </w:tcPr>
          <w:p>
            <w:r>
              <w:rPr>
                <w:sz w:val="18"/>
              </w:rPr>
              <w:t>0.365</w:t>
            </w:r>
          </w:p>
        </w:tc>
        <w:tc>
          <w:tcPr>
            <w:tcW w:type="dxa" w:w="1234"/>
          </w:tcPr>
          <w:p>
            <w:r>
              <w:rPr>
                <w:sz w:val="18"/>
              </w:rPr>
              <w:t>19.1</w:t>
            </w:r>
          </w:p>
        </w:tc>
        <w:tc>
          <w:tcPr>
            <w:tcW w:type="dxa" w:w="1234"/>
          </w:tcPr>
          <w:p>
            <w:r>
              <w:rPr>
                <w:sz w:val="18"/>
              </w:rPr>
              <w:t>−45.4%</w:t>
            </w:r>
          </w:p>
        </w:tc>
        <w:tc>
          <w:tcPr>
            <w:tcW w:type="dxa" w:w="1234"/>
          </w:tcPr>
          <w:p>
            <w:r>
              <w:rPr>
                <w:sz w:val="18"/>
              </w:rPr>
              <w:t>0.395</w:t>
            </w:r>
          </w:p>
        </w:tc>
        <w:tc>
          <w:tcPr>
            <w:tcW w:type="dxa" w:w="1234"/>
          </w:tcPr>
          <w:p>
            <w:r>
              <w:rPr>
                <w:sz w:val="18"/>
              </w:rPr>
              <w:t>19.8</w:t>
            </w:r>
          </w:p>
        </w:tc>
        <w:tc>
          <w:tcPr>
            <w:tcW w:type="dxa" w:w="1234"/>
          </w:tcPr>
          <w:p>
            <w:r>
              <w:rPr>
                <w:sz w:val="18"/>
              </w:rPr>
              <w:t>−47.5%</w:t>
            </w:r>
          </w:p>
        </w:tc>
      </w:tr>
      <w:tr>
        <w:tc>
          <w:tcPr>
            <w:tcW w:type="dxa" w:w="1234"/>
          </w:tcPr>
          <w:p>
            <w:r>
              <w:rPr>
                <w:sz w:val="18"/>
              </w:rPr>
              <w:t>0.15</w:t>
            </w:r>
          </w:p>
        </w:tc>
        <w:tc>
          <w:tcPr>
            <w:tcW w:type="dxa" w:w="1234"/>
          </w:tcPr>
          <w:p>
            <w:r>
              <w:rPr>
                <w:sz w:val="18"/>
              </w:rPr>
              <w:t>0.331</w:t>
            </w:r>
          </w:p>
        </w:tc>
        <w:tc>
          <w:tcPr>
            <w:tcW w:type="dxa" w:w="1234"/>
          </w:tcPr>
          <w:p>
            <w:r>
              <w:rPr>
                <w:sz w:val="18"/>
              </w:rPr>
              <w:t>30.9</w:t>
            </w:r>
          </w:p>
        </w:tc>
        <w:tc>
          <w:tcPr>
            <w:tcW w:type="dxa" w:w="1234"/>
          </w:tcPr>
          <w:p>
            <w:r>
              <w:rPr>
                <w:sz w:val="18"/>
              </w:rPr>
              <w:t>−50.5%</w:t>
            </w:r>
          </w:p>
        </w:tc>
        <w:tc>
          <w:tcPr>
            <w:tcW w:type="dxa" w:w="1234"/>
          </w:tcPr>
          <w:p>
            <w:r>
              <w:rPr>
                <w:sz w:val="18"/>
              </w:rPr>
              <w:t>0.336</w:t>
            </w:r>
          </w:p>
        </w:tc>
        <w:tc>
          <w:tcPr>
            <w:tcW w:type="dxa" w:w="1234"/>
          </w:tcPr>
          <w:p>
            <w:r>
              <w:rPr>
                <w:sz w:val="18"/>
              </w:rPr>
              <w:t>28.8</w:t>
            </w:r>
          </w:p>
        </w:tc>
        <w:tc>
          <w:tcPr>
            <w:tcW w:type="dxa" w:w="1234"/>
          </w:tcPr>
          <w:p>
            <w:r>
              <w:rPr>
                <w:sz w:val="18"/>
              </w:rPr>
              <w:t>−55.4%</w:t>
            </w:r>
          </w:p>
        </w:tc>
      </w:tr>
      <w:tr>
        <w:tc>
          <w:tcPr>
            <w:tcW w:type="dxa" w:w="1234"/>
          </w:tcPr>
          <w:p>
            <w:r>
              <w:rPr>
                <w:sz w:val="18"/>
              </w:rPr>
              <w:t>0.20</w:t>
            </w:r>
          </w:p>
        </w:tc>
        <w:tc>
          <w:tcPr>
            <w:tcW w:type="dxa" w:w="1234"/>
          </w:tcPr>
          <w:p>
            <w:r>
              <w:rPr>
                <w:sz w:val="18"/>
              </w:rPr>
              <w:t>0.349</w:t>
            </w:r>
          </w:p>
        </w:tc>
        <w:tc>
          <w:tcPr>
            <w:tcW w:type="dxa" w:w="1234"/>
          </w:tcPr>
          <w:p>
            <w:r>
              <w:rPr>
                <w:sz w:val="18"/>
              </w:rPr>
              <w:t>48.5</w:t>
            </w:r>
          </w:p>
        </w:tc>
        <w:tc>
          <w:tcPr>
            <w:tcW w:type="dxa" w:w="1234"/>
          </w:tcPr>
          <w:p>
            <w:r>
              <w:rPr>
                <w:sz w:val="18"/>
              </w:rPr>
              <w:t>−47.9%</w:t>
            </w:r>
          </w:p>
        </w:tc>
        <w:tc>
          <w:tcPr>
            <w:tcW w:type="dxa" w:w="1234"/>
          </w:tcPr>
          <w:p>
            <w:r>
              <w:rPr>
                <w:sz w:val="18"/>
              </w:rPr>
              <w:t>0.303</w:t>
            </w:r>
          </w:p>
        </w:tc>
        <w:tc>
          <w:tcPr>
            <w:tcW w:type="dxa" w:w="1234"/>
          </w:tcPr>
          <w:p>
            <w:r>
              <w:rPr>
                <w:sz w:val="18"/>
              </w:rPr>
              <w:t>30.9</w:t>
            </w:r>
          </w:p>
        </w:tc>
        <w:tc>
          <w:tcPr>
            <w:tcW w:type="dxa" w:w="1234"/>
          </w:tcPr>
          <w:p>
            <w:r>
              <w:rPr>
                <w:sz w:val="18"/>
              </w:rPr>
              <w:t>−59.7%</w:t>
            </w:r>
          </w:p>
        </w:tc>
      </w:tr>
      <w:tr>
        <w:tc>
          <w:tcPr>
            <w:tcW w:type="dxa" w:w="1234"/>
          </w:tcPr>
          <w:p>
            <w:r>
              <w:rPr>
                <w:sz w:val="18"/>
              </w:rPr>
              <w:t>0.30</w:t>
            </w:r>
          </w:p>
        </w:tc>
        <w:tc>
          <w:tcPr>
            <w:tcW w:type="dxa" w:w="1234"/>
          </w:tcPr>
          <w:p>
            <w:r>
              <w:rPr>
                <w:sz w:val="18"/>
              </w:rPr>
              <w:t>0.383</w:t>
            </w:r>
          </w:p>
        </w:tc>
        <w:tc>
          <w:tcPr>
            <w:tcW w:type="dxa" w:w="1234"/>
          </w:tcPr>
          <w:p>
            <w:r>
              <w:rPr>
                <w:sz w:val="18"/>
              </w:rPr>
              <w:t>72.0</w:t>
            </w:r>
          </w:p>
        </w:tc>
        <w:tc>
          <w:tcPr>
            <w:tcW w:type="dxa" w:w="1234"/>
          </w:tcPr>
          <w:p>
            <w:r>
              <w:rPr>
                <w:sz w:val="18"/>
              </w:rPr>
              <w:t>−42.7%</w:t>
            </w:r>
          </w:p>
        </w:tc>
        <w:tc>
          <w:tcPr>
            <w:tcW w:type="dxa" w:w="1234"/>
          </w:tcPr>
          <w:p>
            <w:r>
              <w:rPr>
                <w:sz w:val="18"/>
              </w:rPr>
              <w:t>0.364</w:t>
            </w:r>
          </w:p>
        </w:tc>
        <w:tc>
          <w:tcPr>
            <w:tcW w:type="dxa" w:w="1234"/>
          </w:tcPr>
          <w:p>
            <w:r>
              <w:rPr>
                <w:sz w:val="18"/>
              </w:rPr>
              <w:t>72.0</w:t>
            </w:r>
          </w:p>
        </w:tc>
        <w:tc>
          <w:tcPr>
            <w:tcW w:type="dxa" w:w="1234"/>
          </w:tcPr>
          <w:p>
            <w:r>
              <w:rPr>
                <w:sz w:val="18"/>
              </w:rPr>
              <w:t>−51.6%</w:t>
            </w:r>
          </w:p>
        </w:tc>
      </w:tr>
    </w:tbl>
    <w:p>
      <w:r>
        <w:rPr>
          <w:b w:val="0"/>
          <w:i/>
          <w:sz w:val="18"/>
        </w:rPr>
        <w:t>Table 2.1: Config A (r = 0.9) condenser-direct bypass sweep. ΔSEC is improvement relative to no bypass.</w:t>
      </w:r>
    </w:p>
    <w:p>
      <w:r>
        <w:rPr>
          <w:b w:val="0"/>
          <w:i w:val="0"/>
          <w:sz w:val="22"/>
        </w:rPr>
        <w:t>The results reveal a dramatic trade-off between SEC and drying time. At threshold = 0.10, SEC is reduced by 45–48% with a moderate drying time increase from ~15 h to ~19 h (+30%). At threshold = 0.15, SEC improves by 50–55% but drying time doubles to 29–31 h. Above 0.20, the system spends too long in bypass mode, humidity accumulates, and the simulation approaches the 72 h limit.</w:t>
      </w:r>
    </w:p>
    <w:p>
      <w:r>
        <w:rPr>
          <w:b w:val="0"/>
          <w:i w:val="0"/>
          <w:sz w:val="22"/>
        </w:rPr>
        <w:t>The mechanism is intuitive: during bypass, the compressor work drops from ~2 kW (heating air from 12 °C to 45 °C) to ~0.2 kW (heating from 43 °C to 45 °C). However, no dehumidification occurs, so chamber RH rises and the drying rate slows. The system oscillates between bypass (low energy, slow drying) and normal (high energy, fast drying) modes, with the threshold determining the duty cycle.</w:t>
      </w:r>
    </w:p>
    <w:p>
      <w:r>
        <w:rPr>
          <w:b w:val="0"/>
          <w:i w:val="0"/>
          <w:sz w:val="22"/>
        </w:rPr>
        <w:t>For a practical system where drying time is constrained to ~16 h (one operational day), threshold = 0.05 provides the best balance: 19–20% SEC reduction with only ~1 h of additional drying time.</w:t>
      </w:r>
    </w:p>
    <w:p>
      <w:pPr>
        <w:pStyle w:val="Heading2"/>
      </w:pPr>
      <w:r>
        <w:t>2.4  Configs D1 and D2: Exhaust Bypass Optimisation</w:t>
      </w:r>
    </w:p>
    <w:p>
      <w:r>
        <w:rPr>
          <w:b w:val="0"/>
          <w:i w:val="0"/>
          <w:sz w:val="22"/>
        </w:rPr>
        <w:t>Tables 2.2 and 2.3 present the VPD utilisation threshold sweep for Configs D1 and D2 respectively.</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KTM SEC</w:t>
            </w:r>
          </w:p>
        </w:tc>
        <w:tc>
          <w:tcPr>
            <w:tcW w:type="dxa" w:w="1234"/>
          </w:tcPr>
          <w:p>
            <w:r>
              <w:rPr>
                <w:b/>
                <w:sz w:val="18"/>
              </w:rPr>
              <w:t>KTM time (h)</w:t>
            </w:r>
          </w:p>
        </w:tc>
        <w:tc>
          <w:tcPr>
            <w:tcW w:type="dxa" w:w="1234"/>
          </w:tcPr>
          <w:p>
            <w:r>
              <w:rPr>
                <w:b/>
                <w:sz w:val="18"/>
              </w:rPr>
              <w:t>KTM ΔSEC</w:t>
            </w:r>
          </w:p>
        </w:tc>
        <w:tc>
          <w:tcPr>
            <w:tcW w:type="dxa" w:w="1234"/>
          </w:tcPr>
          <w:p>
            <w:r>
              <w:rPr>
                <w:b/>
                <w:sz w:val="18"/>
              </w:rPr>
              <w:t>BTN SEC</w:t>
            </w:r>
          </w:p>
        </w:tc>
        <w:tc>
          <w:tcPr>
            <w:tcW w:type="dxa" w:w="1234"/>
          </w:tcPr>
          <w:p>
            <w:r>
              <w:rPr>
                <w:b/>
                <w:sz w:val="18"/>
              </w:rPr>
              <w:t>BTN time (h)</w:t>
            </w:r>
          </w:p>
        </w:tc>
        <w:tc>
          <w:tcPr>
            <w:tcW w:type="dxa" w:w="1234"/>
          </w:tcPr>
          <w:p>
            <w:r>
              <w:rPr>
                <w:b/>
                <w:sz w:val="18"/>
              </w:rPr>
              <w:t>BTN ΔSEC</w:t>
            </w:r>
          </w:p>
        </w:tc>
      </w:tr>
      <w:tr>
        <w:tc>
          <w:tcPr>
            <w:tcW w:type="dxa" w:w="1234"/>
          </w:tcPr>
          <w:p>
            <w:r>
              <w:rPr>
                <w:sz w:val="18"/>
              </w:rPr>
              <w:t>OFF</w:t>
            </w:r>
          </w:p>
        </w:tc>
        <w:tc>
          <w:tcPr>
            <w:tcW w:type="dxa" w:w="1234"/>
          </w:tcPr>
          <w:p>
            <w:r>
              <w:rPr>
                <w:sz w:val="18"/>
              </w:rPr>
              <w:t>0.365</w:t>
            </w:r>
          </w:p>
        </w:tc>
        <w:tc>
          <w:tcPr>
            <w:tcW w:type="dxa" w:w="1234"/>
          </w:tcPr>
          <w:p>
            <w:r>
              <w:rPr>
                <w:sz w:val="18"/>
              </w:rPr>
              <w:t>13.8</w:t>
            </w:r>
          </w:p>
        </w:tc>
        <w:tc>
          <w:tcPr>
            <w:tcW w:type="dxa" w:w="1234"/>
          </w:tcPr>
          <w:p>
            <w:r>
              <w:rPr>
                <w:sz w:val="18"/>
              </w:rPr>
              <w:t>—</w:t>
            </w:r>
          </w:p>
        </w:tc>
        <w:tc>
          <w:tcPr>
            <w:tcW w:type="dxa" w:w="1234"/>
          </w:tcPr>
          <w:p>
            <w:r>
              <w:rPr>
                <w:sz w:val="18"/>
              </w:rPr>
              <w:t>0.293</w:t>
            </w:r>
          </w:p>
        </w:tc>
        <w:tc>
          <w:tcPr>
            <w:tcW w:type="dxa" w:w="1234"/>
          </w:tcPr>
          <w:p>
            <w:r>
              <w:rPr>
                <w:sz w:val="18"/>
              </w:rPr>
              <w:t>14.4</w:t>
            </w:r>
          </w:p>
        </w:tc>
        <w:tc>
          <w:tcPr>
            <w:tcW w:type="dxa" w:w="1234"/>
          </w:tcPr>
          <w:p>
            <w:r>
              <w:rPr>
                <w:sz w:val="18"/>
              </w:rPr>
              <w:t>—</w:t>
            </w:r>
          </w:p>
        </w:tc>
      </w:tr>
      <w:tr>
        <w:tc>
          <w:tcPr>
            <w:tcW w:type="dxa" w:w="1234"/>
          </w:tcPr>
          <w:p>
            <w:r>
              <w:rPr>
                <w:sz w:val="18"/>
              </w:rPr>
              <w:t>0.01</w:t>
            </w:r>
          </w:p>
        </w:tc>
        <w:tc>
          <w:tcPr>
            <w:tcW w:type="dxa" w:w="1234"/>
          </w:tcPr>
          <w:p>
            <w:r>
              <w:rPr>
                <w:sz w:val="18"/>
              </w:rPr>
              <w:t>0.331</w:t>
            </w:r>
          </w:p>
        </w:tc>
        <w:tc>
          <w:tcPr>
            <w:tcW w:type="dxa" w:w="1234"/>
          </w:tcPr>
          <w:p>
            <w:r>
              <w:rPr>
                <w:sz w:val="18"/>
              </w:rPr>
              <w:t>14.0</w:t>
            </w:r>
          </w:p>
        </w:tc>
        <w:tc>
          <w:tcPr>
            <w:tcW w:type="dxa" w:w="1234"/>
          </w:tcPr>
          <w:p>
            <w:r>
              <w:rPr>
                <w:sz w:val="18"/>
              </w:rPr>
              <w:t>−9.3%</w:t>
            </w:r>
          </w:p>
        </w:tc>
        <w:tc>
          <w:tcPr>
            <w:tcW w:type="dxa" w:w="1234"/>
          </w:tcPr>
          <w:p>
            <w:r>
              <w:rPr>
                <w:sz w:val="18"/>
              </w:rPr>
              <w:t>0.264</w:t>
            </w:r>
          </w:p>
        </w:tc>
        <w:tc>
          <w:tcPr>
            <w:tcW w:type="dxa" w:w="1234"/>
          </w:tcPr>
          <w:p>
            <w:r>
              <w:rPr>
                <w:sz w:val="18"/>
              </w:rPr>
              <w:t>14.6</w:t>
            </w:r>
          </w:p>
        </w:tc>
        <w:tc>
          <w:tcPr>
            <w:tcW w:type="dxa" w:w="1234"/>
          </w:tcPr>
          <w:p>
            <w:r>
              <w:rPr>
                <w:sz w:val="18"/>
              </w:rPr>
              <w:t>−10.2%</w:t>
            </w:r>
          </w:p>
        </w:tc>
      </w:tr>
      <w:tr>
        <w:tc>
          <w:tcPr>
            <w:tcW w:type="dxa" w:w="1234"/>
          </w:tcPr>
          <w:p>
            <w:r>
              <w:rPr>
                <w:sz w:val="18"/>
              </w:rPr>
              <w:t>0.02</w:t>
            </w:r>
          </w:p>
        </w:tc>
        <w:tc>
          <w:tcPr>
            <w:tcW w:type="dxa" w:w="1234"/>
          </w:tcPr>
          <w:p>
            <w:r>
              <w:rPr>
                <w:sz w:val="18"/>
              </w:rPr>
              <w:t>0.314</w:t>
            </w:r>
          </w:p>
        </w:tc>
        <w:tc>
          <w:tcPr>
            <w:tcW w:type="dxa" w:w="1234"/>
          </w:tcPr>
          <w:p>
            <w:r>
              <w:rPr>
                <w:sz w:val="18"/>
              </w:rPr>
              <w:t>14.2</w:t>
            </w:r>
          </w:p>
        </w:tc>
        <w:tc>
          <w:tcPr>
            <w:tcW w:type="dxa" w:w="1234"/>
          </w:tcPr>
          <w:p>
            <w:r>
              <w:rPr>
                <w:sz w:val="18"/>
              </w:rPr>
              <w:t>−14.1%</w:t>
            </w:r>
          </w:p>
        </w:tc>
        <w:tc>
          <w:tcPr>
            <w:tcW w:type="dxa" w:w="1234"/>
          </w:tcPr>
          <w:p>
            <w:r>
              <w:rPr>
                <w:sz w:val="18"/>
              </w:rPr>
              <w:t>0.253</w:t>
            </w:r>
          </w:p>
        </w:tc>
        <w:tc>
          <w:tcPr>
            <w:tcW w:type="dxa" w:w="1234"/>
          </w:tcPr>
          <w:p>
            <w:r>
              <w:rPr>
                <w:sz w:val="18"/>
              </w:rPr>
              <w:t>14.8</w:t>
            </w:r>
          </w:p>
        </w:tc>
        <w:tc>
          <w:tcPr>
            <w:tcW w:type="dxa" w:w="1234"/>
          </w:tcPr>
          <w:p>
            <w:r>
              <w:rPr>
                <w:sz w:val="18"/>
              </w:rPr>
              <w:t>−13.7%</w:t>
            </w:r>
          </w:p>
        </w:tc>
      </w:tr>
      <w:tr>
        <w:tc>
          <w:tcPr>
            <w:tcW w:type="dxa" w:w="1234"/>
          </w:tcPr>
          <w:p>
            <w:r>
              <w:rPr>
                <w:sz w:val="18"/>
              </w:rPr>
              <w:t>0.05</w:t>
            </w:r>
          </w:p>
        </w:tc>
        <w:tc>
          <w:tcPr>
            <w:tcW w:type="dxa" w:w="1234"/>
          </w:tcPr>
          <w:p>
            <w:r>
              <w:rPr>
                <w:sz w:val="18"/>
              </w:rPr>
              <w:t>0.287</w:t>
            </w:r>
          </w:p>
        </w:tc>
        <w:tc>
          <w:tcPr>
            <w:tcW w:type="dxa" w:w="1234"/>
          </w:tcPr>
          <w:p>
            <w:r>
              <w:rPr>
                <w:sz w:val="18"/>
              </w:rPr>
              <w:t>15.1</w:t>
            </w:r>
          </w:p>
        </w:tc>
        <w:tc>
          <w:tcPr>
            <w:tcW w:type="dxa" w:w="1234"/>
          </w:tcPr>
          <w:p>
            <w:r>
              <w:rPr>
                <w:sz w:val="18"/>
              </w:rPr>
              <w:t>−21.4%</w:t>
            </w:r>
          </w:p>
        </w:tc>
        <w:tc>
          <w:tcPr>
            <w:tcW w:type="dxa" w:w="1234"/>
          </w:tcPr>
          <w:p>
            <w:r>
              <w:rPr>
                <w:sz w:val="18"/>
              </w:rPr>
              <w:t>0.238</w:t>
            </w:r>
          </w:p>
        </w:tc>
        <w:tc>
          <w:tcPr>
            <w:tcW w:type="dxa" w:w="1234"/>
          </w:tcPr>
          <w:p>
            <w:r>
              <w:rPr>
                <w:sz w:val="18"/>
              </w:rPr>
              <w:t>15.8</w:t>
            </w:r>
          </w:p>
        </w:tc>
        <w:tc>
          <w:tcPr>
            <w:tcW w:type="dxa" w:w="1234"/>
          </w:tcPr>
          <w:p>
            <w:r>
              <w:rPr>
                <w:sz w:val="18"/>
              </w:rPr>
              <w:t>−19.1%</w:t>
            </w:r>
          </w:p>
        </w:tc>
      </w:tr>
      <w:tr>
        <w:tc>
          <w:tcPr>
            <w:tcW w:type="dxa" w:w="1234"/>
          </w:tcPr>
          <w:p>
            <w:r>
              <w:rPr>
                <w:sz w:val="18"/>
              </w:rPr>
              <w:t>0.10</w:t>
            </w:r>
          </w:p>
        </w:tc>
        <w:tc>
          <w:tcPr>
            <w:tcW w:type="dxa" w:w="1234"/>
          </w:tcPr>
          <w:p>
            <w:r>
              <w:rPr>
                <w:sz w:val="18"/>
              </w:rPr>
              <w:t>0.268</w:t>
            </w:r>
          </w:p>
        </w:tc>
        <w:tc>
          <w:tcPr>
            <w:tcW w:type="dxa" w:w="1234"/>
          </w:tcPr>
          <w:p>
            <w:r>
              <w:rPr>
                <w:sz w:val="18"/>
              </w:rPr>
              <w:t>17.2</w:t>
            </w:r>
          </w:p>
        </w:tc>
        <w:tc>
          <w:tcPr>
            <w:tcW w:type="dxa" w:w="1234"/>
          </w:tcPr>
          <w:p>
            <w:r>
              <w:rPr>
                <w:sz w:val="18"/>
              </w:rPr>
              <w:t>−26.7%</w:t>
            </w:r>
          </w:p>
        </w:tc>
        <w:tc>
          <w:tcPr>
            <w:tcW w:type="dxa" w:w="1234"/>
          </w:tcPr>
          <w:p>
            <w:r>
              <w:rPr>
                <w:sz w:val="18"/>
              </w:rPr>
              <w:t>0.225</w:t>
            </w:r>
          </w:p>
        </w:tc>
        <w:tc>
          <w:tcPr>
            <w:tcW w:type="dxa" w:w="1234"/>
          </w:tcPr>
          <w:p>
            <w:r>
              <w:rPr>
                <w:sz w:val="18"/>
              </w:rPr>
              <w:t>18.0</w:t>
            </w:r>
          </w:p>
        </w:tc>
        <w:tc>
          <w:tcPr>
            <w:tcW w:type="dxa" w:w="1234"/>
          </w:tcPr>
          <w:p>
            <w:r>
              <w:rPr>
                <w:sz w:val="18"/>
              </w:rPr>
              <w:t>−23.2%</w:t>
            </w:r>
          </w:p>
        </w:tc>
      </w:tr>
      <w:tr>
        <w:tc>
          <w:tcPr>
            <w:tcW w:type="dxa" w:w="1234"/>
          </w:tcPr>
          <w:p>
            <w:r>
              <w:rPr>
                <w:sz w:val="18"/>
              </w:rPr>
              <w:t>0.15</w:t>
            </w:r>
          </w:p>
        </w:tc>
        <w:tc>
          <w:tcPr>
            <w:tcW w:type="dxa" w:w="1234"/>
          </w:tcPr>
          <w:p>
            <w:r>
              <w:rPr>
                <w:sz w:val="18"/>
              </w:rPr>
              <w:t>0.257</w:t>
            </w:r>
          </w:p>
        </w:tc>
        <w:tc>
          <w:tcPr>
            <w:tcW w:type="dxa" w:w="1234"/>
          </w:tcPr>
          <w:p>
            <w:r>
              <w:rPr>
                <w:sz w:val="18"/>
              </w:rPr>
              <w:t>20.5</w:t>
            </w:r>
          </w:p>
        </w:tc>
        <w:tc>
          <w:tcPr>
            <w:tcW w:type="dxa" w:w="1234"/>
          </w:tcPr>
          <w:p>
            <w:r>
              <w:rPr>
                <w:sz w:val="18"/>
              </w:rPr>
              <w:t>−29.6%</w:t>
            </w:r>
          </w:p>
        </w:tc>
        <w:tc>
          <w:tcPr>
            <w:tcW w:type="dxa" w:w="1234"/>
          </w:tcPr>
          <w:p>
            <w:r>
              <w:rPr>
                <w:sz w:val="18"/>
              </w:rPr>
              <w:t>0.221</w:t>
            </w:r>
          </w:p>
        </w:tc>
        <w:tc>
          <w:tcPr>
            <w:tcW w:type="dxa" w:w="1234"/>
          </w:tcPr>
          <w:p>
            <w:r>
              <w:rPr>
                <w:sz w:val="18"/>
              </w:rPr>
              <w:t>22.3</w:t>
            </w:r>
          </w:p>
        </w:tc>
        <w:tc>
          <w:tcPr>
            <w:tcW w:type="dxa" w:w="1234"/>
          </w:tcPr>
          <w:p>
            <w:r>
              <w:rPr>
                <w:sz w:val="18"/>
              </w:rPr>
              <w:t>−24.6%</w:t>
            </w:r>
          </w:p>
        </w:tc>
      </w:tr>
      <w:tr>
        <w:tc>
          <w:tcPr>
            <w:tcW w:type="dxa" w:w="1234"/>
          </w:tcPr>
          <w:p>
            <w:r>
              <w:rPr>
                <w:sz w:val="18"/>
              </w:rPr>
              <w:t>0.20</w:t>
            </w:r>
          </w:p>
        </w:tc>
        <w:tc>
          <w:tcPr>
            <w:tcW w:type="dxa" w:w="1234"/>
          </w:tcPr>
          <w:p>
            <w:r>
              <w:rPr>
                <w:sz w:val="18"/>
              </w:rPr>
              <w:t>0.258</w:t>
            </w:r>
          </w:p>
        </w:tc>
        <w:tc>
          <w:tcPr>
            <w:tcW w:type="dxa" w:w="1234"/>
          </w:tcPr>
          <w:p>
            <w:r>
              <w:rPr>
                <w:sz w:val="18"/>
              </w:rPr>
              <w:t>25.3</w:t>
            </w:r>
          </w:p>
        </w:tc>
        <w:tc>
          <w:tcPr>
            <w:tcW w:type="dxa" w:w="1234"/>
          </w:tcPr>
          <w:p>
            <w:r>
              <w:rPr>
                <w:sz w:val="18"/>
              </w:rPr>
              <w:t>−29.3%</w:t>
            </w:r>
          </w:p>
        </w:tc>
        <w:tc>
          <w:tcPr>
            <w:tcW w:type="dxa" w:w="1234"/>
          </w:tcPr>
          <w:p>
            <w:r>
              <w:rPr>
                <w:sz w:val="18"/>
              </w:rPr>
              <w:t>0.229</w:t>
            </w:r>
          </w:p>
        </w:tc>
        <w:tc>
          <w:tcPr>
            <w:tcW w:type="dxa" w:w="1234"/>
          </w:tcPr>
          <w:p>
            <w:r>
              <w:rPr>
                <w:sz w:val="18"/>
              </w:rPr>
              <w:t>30.3</w:t>
            </w:r>
          </w:p>
        </w:tc>
        <w:tc>
          <w:tcPr>
            <w:tcW w:type="dxa" w:w="1234"/>
          </w:tcPr>
          <w:p>
            <w:r>
              <w:rPr>
                <w:sz w:val="18"/>
              </w:rPr>
              <w:t>−22.0%</w:t>
            </w:r>
          </w:p>
        </w:tc>
      </w:tr>
      <w:tr>
        <w:tc>
          <w:tcPr>
            <w:tcW w:type="dxa" w:w="1234"/>
          </w:tcPr>
          <w:p>
            <w:r>
              <w:rPr>
                <w:sz w:val="18"/>
              </w:rPr>
              <w:t>0.30</w:t>
            </w:r>
          </w:p>
        </w:tc>
        <w:tc>
          <w:tcPr>
            <w:tcW w:type="dxa" w:w="1234"/>
          </w:tcPr>
          <w:p>
            <w:r>
              <w:rPr>
                <w:sz w:val="18"/>
              </w:rPr>
              <w:t>0.337</w:t>
            </w:r>
          </w:p>
        </w:tc>
        <w:tc>
          <w:tcPr>
            <w:tcW w:type="dxa" w:w="1234"/>
          </w:tcPr>
          <w:p>
            <w:r>
              <w:rPr>
                <w:sz w:val="18"/>
              </w:rPr>
              <w:t>72.0</w:t>
            </w:r>
          </w:p>
        </w:tc>
        <w:tc>
          <w:tcPr>
            <w:tcW w:type="dxa" w:w="1234"/>
          </w:tcPr>
          <w:p>
            <w:r>
              <w:rPr>
                <w:sz w:val="18"/>
              </w:rPr>
              <w:t>−7.8%</w:t>
            </w:r>
          </w:p>
        </w:tc>
        <w:tc>
          <w:tcPr>
            <w:tcW w:type="dxa" w:w="1234"/>
          </w:tcPr>
          <w:p>
            <w:r>
              <w:rPr>
                <w:sz w:val="18"/>
              </w:rPr>
              <w:t>0.298</w:t>
            </w:r>
          </w:p>
        </w:tc>
        <w:tc>
          <w:tcPr>
            <w:tcW w:type="dxa" w:w="1234"/>
          </w:tcPr>
          <w:p>
            <w:r>
              <w:rPr>
                <w:sz w:val="18"/>
              </w:rPr>
              <w:t>72.0</w:t>
            </w:r>
          </w:p>
        </w:tc>
        <w:tc>
          <w:tcPr>
            <w:tcW w:type="dxa" w:w="1234"/>
          </w:tcPr>
          <w:p>
            <w:r>
              <w:rPr>
                <w:sz w:val="18"/>
              </w:rPr>
              <w:t>−*</w:t>
            </w:r>
          </w:p>
        </w:tc>
      </w:tr>
    </w:tbl>
    <w:p>
      <w:r>
        <w:rPr>
          <w:b w:val="0"/>
          <w:i/>
          <w:sz w:val="18"/>
        </w:rPr>
        <w:t>Table 2.2: Config D1 (HRX, ambient evaporator) VPD exhaust bypass sweep.</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KTM SEC</w:t>
            </w:r>
          </w:p>
        </w:tc>
        <w:tc>
          <w:tcPr>
            <w:tcW w:type="dxa" w:w="1234"/>
          </w:tcPr>
          <w:p>
            <w:r>
              <w:rPr>
                <w:b/>
                <w:sz w:val="18"/>
              </w:rPr>
              <w:t>KTM time (h)</w:t>
            </w:r>
          </w:p>
        </w:tc>
        <w:tc>
          <w:tcPr>
            <w:tcW w:type="dxa" w:w="1234"/>
          </w:tcPr>
          <w:p>
            <w:r>
              <w:rPr>
                <w:b/>
                <w:sz w:val="18"/>
              </w:rPr>
              <w:t>KTM ΔSEC</w:t>
            </w:r>
          </w:p>
        </w:tc>
        <w:tc>
          <w:tcPr>
            <w:tcW w:type="dxa" w:w="1234"/>
          </w:tcPr>
          <w:p>
            <w:r>
              <w:rPr>
                <w:b/>
                <w:sz w:val="18"/>
              </w:rPr>
              <w:t>BTN SEC</w:t>
            </w:r>
          </w:p>
        </w:tc>
        <w:tc>
          <w:tcPr>
            <w:tcW w:type="dxa" w:w="1234"/>
          </w:tcPr>
          <w:p>
            <w:r>
              <w:rPr>
                <w:b/>
                <w:sz w:val="18"/>
              </w:rPr>
              <w:t>BTN time (h)</w:t>
            </w:r>
          </w:p>
        </w:tc>
        <w:tc>
          <w:tcPr>
            <w:tcW w:type="dxa" w:w="1234"/>
          </w:tcPr>
          <w:p>
            <w:r>
              <w:rPr>
                <w:b/>
                <w:sz w:val="18"/>
              </w:rPr>
              <w:t>BTN ΔSEC</w:t>
            </w:r>
          </w:p>
        </w:tc>
      </w:tr>
      <w:tr>
        <w:tc>
          <w:tcPr>
            <w:tcW w:type="dxa" w:w="1234"/>
          </w:tcPr>
          <w:p>
            <w:r>
              <w:rPr>
                <w:sz w:val="18"/>
              </w:rPr>
              <w:t>OFF</w:t>
            </w:r>
          </w:p>
        </w:tc>
        <w:tc>
          <w:tcPr>
            <w:tcW w:type="dxa" w:w="1234"/>
          </w:tcPr>
          <w:p>
            <w:r>
              <w:rPr>
                <w:sz w:val="18"/>
              </w:rPr>
              <w:t>0.354</w:t>
            </w:r>
          </w:p>
        </w:tc>
        <w:tc>
          <w:tcPr>
            <w:tcW w:type="dxa" w:w="1234"/>
          </w:tcPr>
          <w:p>
            <w:r>
              <w:rPr>
                <w:sz w:val="18"/>
              </w:rPr>
              <w:t>13.8</w:t>
            </w:r>
          </w:p>
        </w:tc>
        <w:tc>
          <w:tcPr>
            <w:tcW w:type="dxa" w:w="1234"/>
          </w:tcPr>
          <w:p>
            <w:r>
              <w:rPr>
                <w:sz w:val="18"/>
              </w:rPr>
              <w:t>—</w:t>
            </w:r>
          </w:p>
        </w:tc>
        <w:tc>
          <w:tcPr>
            <w:tcW w:type="dxa" w:w="1234"/>
          </w:tcPr>
          <w:p>
            <w:r>
              <w:rPr>
                <w:sz w:val="18"/>
              </w:rPr>
              <w:t>0.282</w:t>
            </w:r>
          </w:p>
        </w:tc>
        <w:tc>
          <w:tcPr>
            <w:tcW w:type="dxa" w:w="1234"/>
          </w:tcPr>
          <w:p>
            <w:r>
              <w:rPr>
                <w:sz w:val="18"/>
              </w:rPr>
              <w:t>14.4</w:t>
            </w:r>
          </w:p>
        </w:tc>
        <w:tc>
          <w:tcPr>
            <w:tcW w:type="dxa" w:w="1234"/>
          </w:tcPr>
          <w:p>
            <w:r>
              <w:rPr>
                <w:sz w:val="18"/>
              </w:rPr>
              <w:t>—</w:t>
            </w:r>
          </w:p>
        </w:tc>
      </w:tr>
      <w:tr>
        <w:tc>
          <w:tcPr>
            <w:tcW w:type="dxa" w:w="1234"/>
          </w:tcPr>
          <w:p>
            <w:r>
              <w:rPr>
                <w:sz w:val="18"/>
              </w:rPr>
              <w:t>0.01</w:t>
            </w:r>
          </w:p>
        </w:tc>
        <w:tc>
          <w:tcPr>
            <w:tcW w:type="dxa" w:w="1234"/>
          </w:tcPr>
          <w:p>
            <w:r>
              <w:rPr>
                <w:sz w:val="18"/>
              </w:rPr>
              <w:t>0.327</w:t>
            </w:r>
          </w:p>
        </w:tc>
        <w:tc>
          <w:tcPr>
            <w:tcW w:type="dxa" w:w="1234"/>
          </w:tcPr>
          <w:p>
            <w:r>
              <w:rPr>
                <w:sz w:val="18"/>
              </w:rPr>
              <w:t>14.0</w:t>
            </w:r>
          </w:p>
        </w:tc>
        <w:tc>
          <w:tcPr>
            <w:tcW w:type="dxa" w:w="1234"/>
          </w:tcPr>
          <w:p>
            <w:r>
              <w:rPr>
                <w:sz w:val="18"/>
              </w:rPr>
              <w:t>−7.7%</w:t>
            </w:r>
          </w:p>
        </w:tc>
        <w:tc>
          <w:tcPr>
            <w:tcW w:type="dxa" w:w="1234"/>
          </w:tcPr>
          <w:p>
            <w:r>
              <w:rPr>
                <w:sz w:val="18"/>
              </w:rPr>
              <w:t>0.258</w:t>
            </w:r>
          </w:p>
        </w:tc>
        <w:tc>
          <w:tcPr>
            <w:tcW w:type="dxa" w:w="1234"/>
          </w:tcPr>
          <w:p>
            <w:r>
              <w:rPr>
                <w:sz w:val="18"/>
              </w:rPr>
              <w:t>14.6</w:t>
            </w:r>
          </w:p>
        </w:tc>
        <w:tc>
          <w:tcPr>
            <w:tcW w:type="dxa" w:w="1234"/>
          </w:tcPr>
          <w:p>
            <w:r>
              <w:rPr>
                <w:sz w:val="18"/>
              </w:rPr>
              <w:t>−8.5%</w:t>
            </w:r>
          </w:p>
        </w:tc>
      </w:tr>
      <w:tr>
        <w:tc>
          <w:tcPr>
            <w:tcW w:type="dxa" w:w="1234"/>
          </w:tcPr>
          <w:p>
            <w:r>
              <w:rPr>
                <w:sz w:val="18"/>
              </w:rPr>
              <w:t>0.02</w:t>
            </w:r>
          </w:p>
        </w:tc>
        <w:tc>
          <w:tcPr>
            <w:tcW w:type="dxa" w:w="1234"/>
          </w:tcPr>
          <w:p>
            <w:r>
              <w:rPr>
                <w:sz w:val="18"/>
              </w:rPr>
              <w:t>0.311</w:t>
            </w:r>
          </w:p>
        </w:tc>
        <w:tc>
          <w:tcPr>
            <w:tcW w:type="dxa" w:w="1234"/>
          </w:tcPr>
          <w:p>
            <w:r>
              <w:rPr>
                <w:sz w:val="18"/>
              </w:rPr>
              <w:t>14.2</w:t>
            </w:r>
          </w:p>
        </w:tc>
        <w:tc>
          <w:tcPr>
            <w:tcW w:type="dxa" w:w="1234"/>
          </w:tcPr>
          <w:p>
            <w:r>
              <w:rPr>
                <w:sz w:val="18"/>
              </w:rPr>
              <w:t>−12.0%</w:t>
            </w:r>
          </w:p>
        </w:tc>
        <w:tc>
          <w:tcPr>
            <w:tcW w:type="dxa" w:w="1234"/>
          </w:tcPr>
          <w:p>
            <w:r>
              <w:rPr>
                <w:sz w:val="18"/>
              </w:rPr>
              <w:t>0.250</w:t>
            </w:r>
          </w:p>
        </w:tc>
        <w:tc>
          <w:tcPr>
            <w:tcW w:type="dxa" w:w="1234"/>
          </w:tcPr>
          <w:p>
            <w:r>
              <w:rPr>
                <w:sz w:val="18"/>
              </w:rPr>
              <w:t>14.8</w:t>
            </w:r>
          </w:p>
        </w:tc>
        <w:tc>
          <w:tcPr>
            <w:tcW w:type="dxa" w:w="1234"/>
          </w:tcPr>
          <w:p>
            <w:r>
              <w:rPr>
                <w:sz w:val="18"/>
              </w:rPr>
              <w:t>−11.5%</w:t>
            </w:r>
          </w:p>
        </w:tc>
      </w:tr>
      <w:tr>
        <w:tc>
          <w:tcPr>
            <w:tcW w:type="dxa" w:w="1234"/>
          </w:tcPr>
          <w:p>
            <w:r>
              <w:rPr>
                <w:sz w:val="18"/>
              </w:rPr>
              <w:t>0.05</w:t>
            </w:r>
          </w:p>
        </w:tc>
        <w:tc>
          <w:tcPr>
            <w:tcW w:type="dxa" w:w="1234"/>
          </w:tcPr>
          <w:p>
            <w:r>
              <w:rPr>
                <w:sz w:val="18"/>
              </w:rPr>
              <w:t>0.289</w:t>
            </w:r>
          </w:p>
        </w:tc>
        <w:tc>
          <w:tcPr>
            <w:tcW w:type="dxa" w:w="1234"/>
          </w:tcPr>
          <w:p>
            <w:r>
              <w:rPr>
                <w:sz w:val="18"/>
              </w:rPr>
              <w:t>15.1</w:t>
            </w:r>
          </w:p>
        </w:tc>
        <w:tc>
          <w:tcPr>
            <w:tcW w:type="dxa" w:w="1234"/>
          </w:tcPr>
          <w:p>
            <w:r>
              <w:rPr>
                <w:sz w:val="18"/>
              </w:rPr>
              <w:t>−18.4%</w:t>
            </w:r>
          </w:p>
        </w:tc>
        <w:tc>
          <w:tcPr>
            <w:tcW w:type="dxa" w:w="1234"/>
          </w:tcPr>
          <w:p>
            <w:r>
              <w:rPr>
                <w:sz w:val="18"/>
              </w:rPr>
              <w:t>0.239</w:t>
            </w:r>
          </w:p>
        </w:tc>
        <w:tc>
          <w:tcPr>
            <w:tcW w:type="dxa" w:w="1234"/>
          </w:tcPr>
          <w:p>
            <w:r>
              <w:rPr>
                <w:sz w:val="18"/>
              </w:rPr>
              <w:t>15.8</w:t>
            </w:r>
          </w:p>
        </w:tc>
        <w:tc>
          <w:tcPr>
            <w:tcW w:type="dxa" w:w="1234"/>
          </w:tcPr>
          <w:p>
            <w:r>
              <w:rPr>
                <w:sz w:val="18"/>
              </w:rPr>
              <w:t>−15.4%</w:t>
            </w:r>
          </w:p>
        </w:tc>
      </w:tr>
      <w:tr>
        <w:tc>
          <w:tcPr>
            <w:tcW w:type="dxa" w:w="1234"/>
          </w:tcPr>
          <w:p>
            <w:r>
              <w:rPr>
                <w:sz w:val="18"/>
              </w:rPr>
              <w:t>0.10</w:t>
            </w:r>
          </w:p>
        </w:tc>
        <w:tc>
          <w:tcPr>
            <w:tcW w:type="dxa" w:w="1234"/>
          </w:tcPr>
          <w:p>
            <w:r>
              <w:rPr>
                <w:sz w:val="18"/>
              </w:rPr>
              <w:t>0.273</w:t>
            </w:r>
          </w:p>
        </w:tc>
        <w:tc>
          <w:tcPr>
            <w:tcW w:type="dxa" w:w="1234"/>
          </w:tcPr>
          <w:p>
            <w:r>
              <w:rPr>
                <w:sz w:val="18"/>
              </w:rPr>
              <w:t>17.2</w:t>
            </w:r>
          </w:p>
        </w:tc>
        <w:tc>
          <w:tcPr>
            <w:tcW w:type="dxa" w:w="1234"/>
          </w:tcPr>
          <w:p>
            <w:r>
              <w:rPr>
                <w:sz w:val="18"/>
              </w:rPr>
              <w:t>−22.9%</w:t>
            </w:r>
          </w:p>
        </w:tc>
        <w:tc>
          <w:tcPr>
            <w:tcW w:type="dxa" w:w="1234"/>
          </w:tcPr>
          <w:p>
            <w:r>
              <w:rPr>
                <w:sz w:val="18"/>
              </w:rPr>
              <w:t>0.231</w:t>
            </w:r>
          </w:p>
        </w:tc>
        <w:tc>
          <w:tcPr>
            <w:tcW w:type="dxa" w:w="1234"/>
          </w:tcPr>
          <w:p>
            <w:r>
              <w:rPr>
                <w:sz w:val="18"/>
              </w:rPr>
              <w:t>18.0</w:t>
            </w:r>
          </w:p>
        </w:tc>
        <w:tc>
          <w:tcPr>
            <w:tcW w:type="dxa" w:w="1234"/>
          </w:tcPr>
          <w:p>
            <w:r>
              <w:rPr>
                <w:sz w:val="18"/>
              </w:rPr>
              <w:t>−17.9%</w:t>
            </w:r>
          </w:p>
        </w:tc>
      </w:tr>
      <w:tr>
        <w:tc>
          <w:tcPr>
            <w:tcW w:type="dxa" w:w="1234"/>
          </w:tcPr>
          <w:p>
            <w:r>
              <w:rPr>
                <w:sz w:val="18"/>
              </w:rPr>
              <w:t>0.15</w:t>
            </w:r>
          </w:p>
        </w:tc>
        <w:tc>
          <w:tcPr>
            <w:tcW w:type="dxa" w:w="1234"/>
          </w:tcPr>
          <w:p>
            <w:r>
              <w:rPr>
                <w:sz w:val="18"/>
              </w:rPr>
              <w:t>0.267</w:t>
            </w:r>
          </w:p>
        </w:tc>
        <w:tc>
          <w:tcPr>
            <w:tcW w:type="dxa" w:w="1234"/>
          </w:tcPr>
          <w:p>
            <w:r>
              <w:rPr>
                <w:sz w:val="18"/>
              </w:rPr>
              <w:t>20.5</w:t>
            </w:r>
          </w:p>
        </w:tc>
        <w:tc>
          <w:tcPr>
            <w:tcW w:type="dxa" w:w="1234"/>
          </w:tcPr>
          <w:p>
            <w:r>
              <w:rPr>
                <w:sz w:val="18"/>
              </w:rPr>
              <w:t>−24.5%</w:t>
            </w:r>
          </w:p>
        </w:tc>
        <w:tc>
          <w:tcPr>
            <w:tcW w:type="dxa" w:w="1234"/>
          </w:tcPr>
          <w:p>
            <w:r>
              <w:rPr>
                <w:sz w:val="18"/>
              </w:rPr>
              <w:t>0.232</w:t>
            </w:r>
          </w:p>
        </w:tc>
        <w:tc>
          <w:tcPr>
            <w:tcW w:type="dxa" w:w="1234"/>
          </w:tcPr>
          <w:p>
            <w:r>
              <w:rPr>
                <w:sz w:val="18"/>
              </w:rPr>
              <w:t>22.3</w:t>
            </w:r>
          </w:p>
        </w:tc>
        <w:tc>
          <w:tcPr>
            <w:tcW w:type="dxa" w:w="1234"/>
          </w:tcPr>
          <w:p>
            <w:r>
              <w:rPr>
                <w:sz w:val="18"/>
              </w:rPr>
              <w:t>−17.6%</w:t>
            </w:r>
          </w:p>
        </w:tc>
      </w:tr>
      <w:tr>
        <w:tc>
          <w:tcPr>
            <w:tcW w:type="dxa" w:w="1234"/>
          </w:tcPr>
          <w:p>
            <w:r>
              <w:rPr>
                <w:sz w:val="18"/>
              </w:rPr>
              <w:t>0.20</w:t>
            </w:r>
          </w:p>
        </w:tc>
        <w:tc>
          <w:tcPr>
            <w:tcW w:type="dxa" w:w="1234"/>
          </w:tcPr>
          <w:p>
            <w:r>
              <w:rPr>
                <w:sz w:val="18"/>
              </w:rPr>
              <w:t>0.273</w:t>
            </w:r>
          </w:p>
        </w:tc>
        <w:tc>
          <w:tcPr>
            <w:tcW w:type="dxa" w:w="1234"/>
          </w:tcPr>
          <w:p>
            <w:r>
              <w:rPr>
                <w:sz w:val="18"/>
              </w:rPr>
              <w:t>25.3</w:t>
            </w:r>
          </w:p>
        </w:tc>
        <w:tc>
          <w:tcPr>
            <w:tcW w:type="dxa" w:w="1234"/>
          </w:tcPr>
          <w:p>
            <w:r>
              <w:rPr>
                <w:sz w:val="18"/>
              </w:rPr>
              <w:t>−22.9%</w:t>
            </w:r>
          </w:p>
        </w:tc>
        <w:tc>
          <w:tcPr>
            <w:tcW w:type="dxa" w:w="1234"/>
          </w:tcPr>
          <w:p>
            <w:r>
              <w:rPr>
                <w:sz w:val="18"/>
              </w:rPr>
              <w:t>0.247</w:t>
            </w:r>
          </w:p>
        </w:tc>
        <w:tc>
          <w:tcPr>
            <w:tcW w:type="dxa" w:w="1234"/>
          </w:tcPr>
          <w:p>
            <w:r>
              <w:rPr>
                <w:sz w:val="18"/>
              </w:rPr>
              <w:t>30.3</w:t>
            </w:r>
          </w:p>
        </w:tc>
        <w:tc>
          <w:tcPr>
            <w:tcW w:type="dxa" w:w="1234"/>
          </w:tcPr>
          <w:p>
            <w:r>
              <w:rPr>
                <w:sz w:val="18"/>
              </w:rPr>
              <w:t>−12.4%</w:t>
            </w:r>
          </w:p>
        </w:tc>
      </w:tr>
      <w:tr>
        <w:tc>
          <w:tcPr>
            <w:tcW w:type="dxa" w:w="1234"/>
          </w:tcPr>
          <w:p>
            <w:r>
              <w:rPr>
                <w:sz w:val="18"/>
              </w:rPr>
              <w:t>0.30</w:t>
            </w:r>
          </w:p>
        </w:tc>
        <w:tc>
          <w:tcPr>
            <w:tcW w:type="dxa" w:w="1234"/>
          </w:tcPr>
          <w:p>
            <w:r>
              <w:rPr>
                <w:sz w:val="18"/>
              </w:rPr>
              <w:t>0.389</w:t>
            </w:r>
          </w:p>
        </w:tc>
        <w:tc>
          <w:tcPr>
            <w:tcW w:type="dxa" w:w="1234"/>
          </w:tcPr>
          <w:p>
            <w:r>
              <w:rPr>
                <w:sz w:val="18"/>
              </w:rPr>
              <w:t>72.0</w:t>
            </w:r>
          </w:p>
        </w:tc>
        <w:tc>
          <w:tcPr>
            <w:tcW w:type="dxa" w:w="1234"/>
          </w:tcPr>
          <w:p>
            <w:r>
              <w:rPr>
                <w:sz w:val="18"/>
              </w:rPr>
              <w:t>+9.8%</w:t>
            </w:r>
          </w:p>
        </w:tc>
        <w:tc>
          <w:tcPr>
            <w:tcW w:type="dxa" w:w="1234"/>
          </w:tcPr>
          <w:p>
            <w:r>
              <w:rPr>
                <w:sz w:val="18"/>
              </w:rPr>
              <w:t>0.348</w:t>
            </w:r>
          </w:p>
        </w:tc>
        <w:tc>
          <w:tcPr>
            <w:tcW w:type="dxa" w:w="1234"/>
          </w:tcPr>
          <w:p>
            <w:r>
              <w:rPr>
                <w:sz w:val="18"/>
              </w:rPr>
              <w:t>72.0</w:t>
            </w:r>
          </w:p>
        </w:tc>
        <w:tc>
          <w:tcPr>
            <w:tcW w:type="dxa" w:w="1234"/>
          </w:tcPr>
          <w:p>
            <w:r>
              <w:rPr>
                <w:sz w:val="18"/>
              </w:rPr>
              <w:t>+23.3%</w:t>
            </w:r>
          </w:p>
        </w:tc>
      </w:tr>
    </w:tbl>
    <w:p>
      <w:r>
        <w:rPr>
          <w:b w:val="0"/>
          <w:i/>
          <w:sz w:val="18"/>
        </w:rPr>
        <w:t>Table 2.3: Config D2 (HRX, dynamic ambient compensation evaporator) VPD exhaust bypass sweep.</w:t>
      </w:r>
    </w:p>
    <w:p>
      <w:r>
        <w:rPr>
          <w:b w:val="0"/>
          <w:i w:val="0"/>
          <w:sz w:val="22"/>
        </w:rPr>
        <w:t>Both D1 and D2 show substantial SEC improvement from exhaust bypass, with diminishing returns above threshold = 0.10. The pattern is consistent across locations: at threshold = 0.05, SEC improves by 15–21% with only 1–2 h of additional drying time (from ~14 h to ~15–16 h). At threshold = 0.10, improvement reaches 18–27% but drying time extends to 17–18 h.</w:t>
      </w:r>
    </w:p>
    <w:p>
      <w:r>
        <w:rPr>
          <w:b w:val="0"/>
          <w:i w:val="0"/>
          <w:sz w:val="22"/>
        </w:rPr>
        <w:t>D1 and D2 respond similarly to the bypass, with D2 showing slightly smaller relative gains. This is expected: D2’s dynamic ambient compensation at the evaporator already improves the heat pump’s COP (by using cooled exhaust rather than raw ambient at the evaporator), so the marginal benefit of bypassing is smaller.</w:t>
      </w:r>
    </w:p>
    <w:p>
      <w:r>
        <w:rPr>
          <w:b w:val="0"/>
          <w:i w:val="0"/>
          <w:sz w:val="22"/>
        </w:rPr>
        <w:t>At threshold ≥ 0.30, the simulation exceeds 72 h for both configs, indicating that the system spends nearly all its time in bypass mode and drying rate is insufficient to reach the target moisture content.</w:t>
      </w:r>
    </w:p>
    <w:p>
      <w:pPr>
        <w:pStyle w:val="Heading2"/>
      </w:pPr>
      <w:r>
        <w:t>2.5  Configs E1 and E2: Exhaust Bypass Optimisation</w:t>
      </w:r>
    </w:p>
    <w:p>
      <w:r>
        <w:rPr>
          <w:b w:val="0"/>
          <w:i w:val="0"/>
          <w:sz w:val="22"/>
        </w:rPr>
        <w:t>Tables 2.4 and 2.5 present the VPD bypass sweep for the solar-assisted HRX configurations E1 and E2 (A_c = 10 m²).</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KTM SEC</w:t>
            </w:r>
          </w:p>
        </w:tc>
        <w:tc>
          <w:tcPr>
            <w:tcW w:type="dxa" w:w="1234"/>
          </w:tcPr>
          <w:p>
            <w:r>
              <w:rPr>
                <w:b/>
                <w:sz w:val="18"/>
              </w:rPr>
              <w:t>KTM time (h)</w:t>
            </w:r>
          </w:p>
        </w:tc>
        <w:tc>
          <w:tcPr>
            <w:tcW w:type="dxa" w:w="1234"/>
          </w:tcPr>
          <w:p>
            <w:r>
              <w:rPr>
                <w:b/>
                <w:sz w:val="18"/>
              </w:rPr>
              <w:t>KTM ΔSEC</w:t>
            </w:r>
          </w:p>
        </w:tc>
        <w:tc>
          <w:tcPr>
            <w:tcW w:type="dxa" w:w="1234"/>
          </w:tcPr>
          <w:p>
            <w:r>
              <w:rPr>
                <w:b/>
                <w:sz w:val="18"/>
              </w:rPr>
              <w:t>BTN SEC</w:t>
            </w:r>
          </w:p>
        </w:tc>
        <w:tc>
          <w:tcPr>
            <w:tcW w:type="dxa" w:w="1234"/>
          </w:tcPr>
          <w:p>
            <w:r>
              <w:rPr>
                <w:b/>
                <w:sz w:val="18"/>
              </w:rPr>
              <w:t>BTN time (h)</w:t>
            </w:r>
          </w:p>
        </w:tc>
        <w:tc>
          <w:tcPr>
            <w:tcW w:type="dxa" w:w="1234"/>
          </w:tcPr>
          <w:p>
            <w:r>
              <w:rPr>
                <w:b/>
                <w:sz w:val="18"/>
              </w:rPr>
              <w:t>BTN ΔSEC</w:t>
            </w:r>
          </w:p>
        </w:tc>
      </w:tr>
      <w:tr>
        <w:tc>
          <w:tcPr>
            <w:tcW w:type="dxa" w:w="1234"/>
          </w:tcPr>
          <w:p>
            <w:r>
              <w:rPr>
                <w:sz w:val="18"/>
              </w:rPr>
              <w:t>OFF</w:t>
            </w:r>
          </w:p>
        </w:tc>
        <w:tc>
          <w:tcPr>
            <w:tcW w:type="dxa" w:w="1234"/>
          </w:tcPr>
          <w:p>
            <w:r>
              <w:rPr>
                <w:sz w:val="18"/>
              </w:rPr>
              <w:t>0.220</w:t>
            </w:r>
          </w:p>
        </w:tc>
        <w:tc>
          <w:tcPr>
            <w:tcW w:type="dxa" w:w="1234"/>
          </w:tcPr>
          <w:p>
            <w:r>
              <w:rPr>
                <w:sz w:val="18"/>
              </w:rPr>
              <w:t>13.8</w:t>
            </w:r>
          </w:p>
        </w:tc>
        <w:tc>
          <w:tcPr>
            <w:tcW w:type="dxa" w:w="1234"/>
          </w:tcPr>
          <w:p>
            <w:r>
              <w:rPr>
                <w:sz w:val="18"/>
              </w:rPr>
              <w:t>—</w:t>
            </w:r>
          </w:p>
        </w:tc>
        <w:tc>
          <w:tcPr>
            <w:tcW w:type="dxa" w:w="1234"/>
          </w:tcPr>
          <w:p>
            <w:r>
              <w:rPr>
                <w:sz w:val="18"/>
              </w:rPr>
              <w:t>0.141</w:t>
            </w:r>
          </w:p>
        </w:tc>
        <w:tc>
          <w:tcPr>
            <w:tcW w:type="dxa" w:w="1234"/>
          </w:tcPr>
          <w:p>
            <w:r>
              <w:rPr>
                <w:sz w:val="18"/>
              </w:rPr>
              <w:t>14.4</w:t>
            </w:r>
          </w:p>
        </w:tc>
        <w:tc>
          <w:tcPr>
            <w:tcW w:type="dxa" w:w="1234"/>
          </w:tcPr>
          <w:p>
            <w:r>
              <w:rPr>
                <w:sz w:val="18"/>
              </w:rPr>
              <w:t>—</w:t>
            </w:r>
          </w:p>
        </w:tc>
      </w:tr>
      <w:tr>
        <w:tc>
          <w:tcPr>
            <w:tcW w:type="dxa" w:w="1234"/>
          </w:tcPr>
          <w:p>
            <w:r>
              <w:rPr>
                <w:sz w:val="18"/>
              </w:rPr>
              <w:t>0.01</w:t>
            </w:r>
          </w:p>
        </w:tc>
        <w:tc>
          <w:tcPr>
            <w:tcW w:type="dxa" w:w="1234"/>
          </w:tcPr>
          <w:p>
            <w:r>
              <w:rPr>
                <w:sz w:val="18"/>
              </w:rPr>
              <w:t>0.186</w:t>
            </w:r>
          </w:p>
        </w:tc>
        <w:tc>
          <w:tcPr>
            <w:tcW w:type="dxa" w:w="1234"/>
          </w:tcPr>
          <w:p>
            <w:r>
              <w:rPr>
                <w:sz w:val="18"/>
              </w:rPr>
              <w:t>14.0</w:t>
            </w:r>
          </w:p>
        </w:tc>
        <w:tc>
          <w:tcPr>
            <w:tcW w:type="dxa" w:w="1234"/>
          </w:tcPr>
          <w:p>
            <w:r>
              <w:rPr>
                <w:sz w:val="18"/>
              </w:rPr>
              <w:t>−15.5%</w:t>
            </w:r>
          </w:p>
        </w:tc>
        <w:tc>
          <w:tcPr>
            <w:tcW w:type="dxa" w:w="1234"/>
          </w:tcPr>
          <w:p>
            <w:r>
              <w:rPr>
                <w:sz w:val="18"/>
              </w:rPr>
              <w:t>0.111</w:t>
            </w:r>
          </w:p>
        </w:tc>
        <w:tc>
          <w:tcPr>
            <w:tcW w:type="dxa" w:w="1234"/>
          </w:tcPr>
          <w:p>
            <w:r>
              <w:rPr>
                <w:sz w:val="18"/>
              </w:rPr>
              <w:t>14.6</w:t>
            </w:r>
          </w:p>
        </w:tc>
        <w:tc>
          <w:tcPr>
            <w:tcW w:type="dxa" w:w="1234"/>
          </w:tcPr>
          <w:p>
            <w:r>
              <w:rPr>
                <w:sz w:val="18"/>
              </w:rPr>
              <w:t>−21.2%</w:t>
            </w:r>
          </w:p>
        </w:tc>
      </w:tr>
      <w:tr>
        <w:tc>
          <w:tcPr>
            <w:tcW w:type="dxa" w:w="1234"/>
          </w:tcPr>
          <w:p>
            <w:r>
              <w:rPr>
                <w:sz w:val="18"/>
              </w:rPr>
              <w:t>0.02</w:t>
            </w:r>
          </w:p>
        </w:tc>
        <w:tc>
          <w:tcPr>
            <w:tcW w:type="dxa" w:w="1234"/>
          </w:tcPr>
          <w:p>
            <w:r>
              <w:rPr>
                <w:sz w:val="18"/>
              </w:rPr>
              <w:t>0.169</w:t>
            </w:r>
          </w:p>
        </w:tc>
        <w:tc>
          <w:tcPr>
            <w:tcW w:type="dxa" w:w="1234"/>
          </w:tcPr>
          <w:p>
            <w:r>
              <w:rPr>
                <w:sz w:val="18"/>
              </w:rPr>
              <w:t>14.2</w:t>
            </w:r>
          </w:p>
        </w:tc>
        <w:tc>
          <w:tcPr>
            <w:tcW w:type="dxa" w:w="1234"/>
          </w:tcPr>
          <w:p>
            <w:r>
              <w:rPr>
                <w:sz w:val="18"/>
              </w:rPr>
              <w:t>−23.2%</w:t>
            </w:r>
          </w:p>
        </w:tc>
        <w:tc>
          <w:tcPr>
            <w:tcW w:type="dxa" w:w="1234"/>
          </w:tcPr>
          <w:p>
            <w:r>
              <w:rPr>
                <w:sz w:val="18"/>
              </w:rPr>
              <w:t>0.103</w:t>
            </w:r>
          </w:p>
        </w:tc>
        <w:tc>
          <w:tcPr>
            <w:tcW w:type="dxa" w:w="1234"/>
          </w:tcPr>
          <w:p>
            <w:r>
              <w:rPr>
                <w:sz w:val="18"/>
              </w:rPr>
              <w:t>14.8</w:t>
            </w:r>
          </w:p>
        </w:tc>
        <w:tc>
          <w:tcPr>
            <w:tcW w:type="dxa" w:w="1234"/>
          </w:tcPr>
          <w:p>
            <w:r>
              <w:rPr>
                <w:sz w:val="18"/>
              </w:rPr>
              <w:t>−26.9%</w:t>
            </w:r>
          </w:p>
        </w:tc>
      </w:tr>
      <w:tr>
        <w:tc>
          <w:tcPr>
            <w:tcW w:type="dxa" w:w="1234"/>
          </w:tcPr>
          <w:p>
            <w:r>
              <w:rPr>
                <w:sz w:val="18"/>
              </w:rPr>
              <w:t>0.05</w:t>
            </w:r>
          </w:p>
        </w:tc>
        <w:tc>
          <w:tcPr>
            <w:tcW w:type="dxa" w:w="1234"/>
          </w:tcPr>
          <w:p>
            <w:r>
              <w:rPr>
                <w:sz w:val="18"/>
              </w:rPr>
              <w:t>0.152</w:t>
            </w:r>
          </w:p>
        </w:tc>
        <w:tc>
          <w:tcPr>
            <w:tcW w:type="dxa" w:w="1234"/>
          </w:tcPr>
          <w:p>
            <w:r>
              <w:rPr>
                <w:sz w:val="18"/>
              </w:rPr>
              <w:t>15.1</w:t>
            </w:r>
          </w:p>
        </w:tc>
        <w:tc>
          <w:tcPr>
            <w:tcW w:type="dxa" w:w="1234"/>
          </w:tcPr>
          <w:p>
            <w:r>
              <w:rPr>
                <w:sz w:val="18"/>
              </w:rPr>
              <w:t>−30.9%</w:t>
            </w:r>
          </w:p>
        </w:tc>
        <w:tc>
          <w:tcPr>
            <w:tcW w:type="dxa" w:w="1234"/>
          </w:tcPr>
          <w:p>
            <w:r>
              <w:rPr>
                <w:sz w:val="18"/>
              </w:rPr>
              <w:t>0.101</w:t>
            </w:r>
          </w:p>
        </w:tc>
        <w:tc>
          <w:tcPr>
            <w:tcW w:type="dxa" w:w="1234"/>
          </w:tcPr>
          <w:p>
            <w:r>
              <w:rPr>
                <w:sz w:val="18"/>
              </w:rPr>
              <w:t>15.8</w:t>
            </w:r>
          </w:p>
        </w:tc>
        <w:tc>
          <w:tcPr>
            <w:tcW w:type="dxa" w:w="1234"/>
          </w:tcPr>
          <w:p>
            <w:r>
              <w:rPr>
                <w:sz w:val="18"/>
              </w:rPr>
              <w:t>−28.5%</w:t>
            </w:r>
          </w:p>
        </w:tc>
      </w:tr>
      <w:tr>
        <w:tc>
          <w:tcPr>
            <w:tcW w:type="dxa" w:w="1234"/>
          </w:tcPr>
          <w:p>
            <w:r>
              <w:rPr>
                <w:sz w:val="18"/>
              </w:rPr>
              <w:t>0.10</w:t>
            </w:r>
          </w:p>
        </w:tc>
        <w:tc>
          <w:tcPr>
            <w:tcW w:type="dxa" w:w="1234"/>
          </w:tcPr>
          <w:p>
            <w:r>
              <w:rPr>
                <w:sz w:val="18"/>
              </w:rPr>
              <w:t>0.155</w:t>
            </w:r>
          </w:p>
        </w:tc>
        <w:tc>
          <w:tcPr>
            <w:tcW w:type="dxa" w:w="1234"/>
          </w:tcPr>
          <w:p>
            <w:r>
              <w:rPr>
                <w:sz w:val="18"/>
              </w:rPr>
              <w:t>17.2</w:t>
            </w:r>
          </w:p>
        </w:tc>
        <w:tc>
          <w:tcPr>
            <w:tcW w:type="dxa" w:w="1234"/>
          </w:tcPr>
          <w:p>
            <w:r>
              <w:rPr>
                <w:sz w:val="18"/>
              </w:rPr>
              <w:t>−29.7%</w:t>
            </w:r>
          </w:p>
        </w:tc>
        <w:tc>
          <w:tcPr>
            <w:tcW w:type="dxa" w:w="1234"/>
          </w:tcPr>
          <w:p>
            <w:r>
              <w:rPr>
                <w:sz w:val="18"/>
              </w:rPr>
              <w:t>0.106</w:t>
            </w:r>
          </w:p>
        </w:tc>
        <w:tc>
          <w:tcPr>
            <w:tcW w:type="dxa" w:w="1234"/>
          </w:tcPr>
          <w:p>
            <w:r>
              <w:rPr>
                <w:sz w:val="18"/>
              </w:rPr>
              <w:t>18.0</w:t>
            </w:r>
          </w:p>
        </w:tc>
        <w:tc>
          <w:tcPr>
            <w:tcW w:type="dxa" w:w="1234"/>
          </w:tcPr>
          <w:p>
            <w:r>
              <w:rPr>
                <w:sz w:val="18"/>
              </w:rPr>
              <w:t>−25.0%</w:t>
            </w:r>
          </w:p>
        </w:tc>
      </w:tr>
      <w:tr>
        <w:tc>
          <w:tcPr>
            <w:tcW w:type="dxa" w:w="1234"/>
          </w:tcPr>
          <w:p>
            <w:r>
              <w:rPr>
                <w:sz w:val="18"/>
              </w:rPr>
              <w:t>0.15</w:t>
            </w:r>
          </w:p>
        </w:tc>
        <w:tc>
          <w:tcPr>
            <w:tcW w:type="dxa" w:w="1234"/>
          </w:tcPr>
          <w:p>
            <w:r>
              <w:rPr>
                <w:sz w:val="18"/>
              </w:rPr>
              <w:t>0.151</w:t>
            </w:r>
          </w:p>
        </w:tc>
        <w:tc>
          <w:tcPr>
            <w:tcW w:type="dxa" w:w="1234"/>
          </w:tcPr>
          <w:p>
            <w:r>
              <w:rPr>
                <w:sz w:val="18"/>
              </w:rPr>
              <w:t>20.5</w:t>
            </w:r>
          </w:p>
        </w:tc>
        <w:tc>
          <w:tcPr>
            <w:tcW w:type="dxa" w:w="1234"/>
          </w:tcPr>
          <w:p>
            <w:r>
              <w:rPr>
                <w:sz w:val="18"/>
              </w:rPr>
              <w:t>−31.4%</w:t>
            </w:r>
          </w:p>
        </w:tc>
        <w:tc>
          <w:tcPr>
            <w:tcW w:type="dxa" w:w="1234"/>
          </w:tcPr>
          <w:p>
            <w:r>
              <w:rPr>
                <w:sz w:val="18"/>
              </w:rPr>
              <w:t>0.110</w:t>
            </w:r>
          </w:p>
        </w:tc>
        <w:tc>
          <w:tcPr>
            <w:tcW w:type="dxa" w:w="1234"/>
          </w:tcPr>
          <w:p>
            <w:r>
              <w:rPr>
                <w:sz w:val="18"/>
              </w:rPr>
              <w:t>22.3</w:t>
            </w:r>
          </w:p>
        </w:tc>
        <w:tc>
          <w:tcPr>
            <w:tcW w:type="dxa" w:w="1234"/>
          </w:tcPr>
          <w:p>
            <w:r>
              <w:rPr>
                <w:sz w:val="18"/>
              </w:rPr>
              <w:t>−21.7%</w:t>
            </w:r>
          </w:p>
        </w:tc>
      </w:tr>
      <w:tr>
        <w:tc>
          <w:tcPr>
            <w:tcW w:type="dxa" w:w="1234"/>
          </w:tcPr>
          <w:p>
            <w:r>
              <w:rPr>
                <w:sz w:val="18"/>
              </w:rPr>
              <w:t>0.20</w:t>
            </w:r>
          </w:p>
        </w:tc>
        <w:tc>
          <w:tcPr>
            <w:tcW w:type="dxa" w:w="1234"/>
          </w:tcPr>
          <w:p>
            <w:r>
              <w:rPr>
                <w:sz w:val="18"/>
              </w:rPr>
              <w:t>0.150</w:t>
            </w:r>
          </w:p>
        </w:tc>
        <w:tc>
          <w:tcPr>
            <w:tcW w:type="dxa" w:w="1234"/>
          </w:tcPr>
          <w:p>
            <w:r>
              <w:rPr>
                <w:sz w:val="18"/>
              </w:rPr>
              <w:t>25.3</w:t>
            </w:r>
          </w:p>
        </w:tc>
        <w:tc>
          <w:tcPr>
            <w:tcW w:type="dxa" w:w="1234"/>
          </w:tcPr>
          <w:p>
            <w:r>
              <w:rPr>
                <w:sz w:val="18"/>
              </w:rPr>
              <w:t>−31.6%</w:t>
            </w:r>
          </w:p>
        </w:tc>
        <w:tc>
          <w:tcPr>
            <w:tcW w:type="dxa" w:w="1234"/>
          </w:tcPr>
          <w:p>
            <w:r>
              <w:rPr>
                <w:sz w:val="18"/>
              </w:rPr>
              <w:t>0.114</w:t>
            </w:r>
          </w:p>
        </w:tc>
        <w:tc>
          <w:tcPr>
            <w:tcW w:type="dxa" w:w="1234"/>
          </w:tcPr>
          <w:p>
            <w:r>
              <w:rPr>
                <w:sz w:val="18"/>
              </w:rPr>
              <w:t>30.3</w:t>
            </w:r>
          </w:p>
        </w:tc>
        <w:tc>
          <w:tcPr>
            <w:tcW w:type="dxa" w:w="1234"/>
          </w:tcPr>
          <w:p>
            <w:r>
              <w:rPr>
                <w:sz w:val="18"/>
              </w:rPr>
              <w:t>−19.4%</w:t>
            </w:r>
          </w:p>
        </w:tc>
      </w:tr>
      <w:tr>
        <w:tc>
          <w:tcPr>
            <w:tcW w:type="dxa" w:w="1234"/>
          </w:tcPr>
          <w:p>
            <w:r>
              <w:rPr>
                <w:sz w:val="18"/>
              </w:rPr>
              <w:t>0.30</w:t>
            </w:r>
          </w:p>
        </w:tc>
        <w:tc>
          <w:tcPr>
            <w:tcW w:type="dxa" w:w="1234"/>
          </w:tcPr>
          <w:p>
            <w:r>
              <w:rPr>
                <w:sz w:val="18"/>
              </w:rPr>
              <w:t>0.235</w:t>
            </w:r>
          </w:p>
        </w:tc>
        <w:tc>
          <w:tcPr>
            <w:tcW w:type="dxa" w:w="1234"/>
          </w:tcPr>
          <w:p>
            <w:r>
              <w:rPr>
                <w:sz w:val="18"/>
              </w:rPr>
              <w:t>72.0</w:t>
            </w:r>
          </w:p>
        </w:tc>
        <w:tc>
          <w:tcPr>
            <w:tcW w:type="dxa" w:w="1234"/>
          </w:tcPr>
          <w:p>
            <w:r>
              <w:rPr>
                <w:sz w:val="18"/>
              </w:rPr>
              <w:t>+6.5%</w:t>
            </w:r>
          </w:p>
        </w:tc>
        <w:tc>
          <w:tcPr>
            <w:tcW w:type="dxa" w:w="1234"/>
          </w:tcPr>
          <w:p>
            <w:r>
              <w:rPr>
                <w:sz w:val="18"/>
              </w:rPr>
              <w:t>0.184</w:t>
            </w:r>
          </w:p>
        </w:tc>
        <w:tc>
          <w:tcPr>
            <w:tcW w:type="dxa" w:w="1234"/>
          </w:tcPr>
          <w:p>
            <w:r>
              <w:rPr>
                <w:sz w:val="18"/>
              </w:rPr>
              <w:t>72.0</w:t>
            </w:r>
          </w:p>
        </w:tc>
        <w:tc>
          <w:tcPr>
            <w:tcW w:type="dxa" w:w="1234"/>
          </w:tcPr>
          <w:p>
            <w:r>
              <w:rPr>
                <w:sz w:val="18"/>
              </w:rPr>
              <w:t>+30.8%</w:t>
            </w:r>
          </w:p>
        </w:tc>
      </w:tr>
    </w:tbl>
    <w:p>
      <w:r>
        <w:rPr>
          <w:b w:val="0"/>
          <w:i/>
          <w:sz w:val="18"/>
        </w:rPr>
        <w:t>Table 2.4: Config E1 (HRX + Solar, ambient evaporator, A_c = 10 m²) VPD exhaust bypass sweep.</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KTM SEC</w:t>
            </w:r>
          </w:p>
        </w:tc>
        <w:tc>
          <w:tcPr>
            <w:tcW w:type="dxa" w:w="1234"/>
          </w:tcPr>
          <w:p>
            <w:r>
              <w:rPr>
                <w:b/>
                <w:sz w:val="18"/>
              </w:rPr>
              <w:t>KTM time (h)</w:t>
            </w:r>
          </w:p>
        </w:tc>
        <w:tc>
          <w:tcPr>
            <w:tcW w:type="dxa" w:w="1234"/>
          </w:tcPr>
          <w:p>
            <w:r>
              <w:rPr>
                <w:b/>
                <w:sz w:val="18"/>
              </w:rPr>
              <w:t>KTM ΔSEC</w:t>
            </w:r>
          </w:p>
        </w:tc>
        <w:tc>
          <w:tcPr>
            <w:tcW w:type="dxa" w:w="1234"/>
          </w:tcPr>
          <w:p>
            <w:r>
              <w:rPr>
                <w:b/>
                <w:sz w:val="18"/>
              </w:rPr>
              <w:t>BTN SEC</w:t>
            </w:r>
          </w:p>
        </w:tc>
        <w:tc>
          <w:tcPr>
            <w:tcW w:type="dxa" w:w="1234"/>
          </w:tcPr>
          <w:p>
            <w:r>
              <w:rPr>
                <w:b/>
                <w:sz w:val="18"/>
              </w:rPr>
              <w:t>BTN time (h)</w:t>
            </w:r>
          </w:p>
        </w:tc>
        <w:tc>
          <w:tcPr>
            <w:tcW w:type="dxa" w:w="1234"/>
          </w:tcPr>
          <w:p>
            <w:r>
              <w:rPr>
                <w:b/>
                <w:sz w:val="18"/>
              </w:rPr>
              <w:t>BTN ΔSEC</w:t>
            </w:r>
          </w:p>
        </w:tc>
      </w:tr>
      <w:tr>
        <w:tc>
          <w:tcPr>
            <w:tcW w:type="dxa" w:w="1234"/>
          </w:tcPr>
          <w:p>
            <w:r>
              <w:rPr>
                <w:sz w:val="18"/>
              </w:rPr>
              <w:t>OFF</w:t>
            </w:r>
          </w:p>
        </w:tc>
        <w:tc>
          <w:tcPr>
            <w:tcW w:type="dxa" w:w="1234"/>
          </w:tcPr>
          <w:p>
            <w:r>
              <w:rPr>
                <w:sz w:val="18"/>
              </w:rPr>
              <w:t>0.197</w:t>
            </w:r>
          </w:p>
        </w:tc>
        <w:tc>
          <w:tcPr>
            <w:tcW w:type="dxa" w:w="1234"/>
          </w:tcPr>
          <w:p>
            <w:r>
              <w:rPr>
                <w:sz w:val="18"/>
              </w:rPr>
              <w:t>13.8</w:t>
            </w:r>
          </w:p>
        </w:tc>
        <w:tc>
          <w:tcPr>
            <w:tcW w:type="dxa" w:w="1234"/>
          </w:tcPr>
          <w:p>
            <w:r>
              <w:rPr>
                <w:sz w:val="18"/>
              </w:rPr>
              <w:t>—</w:t>
            </w:r>
          </w:p>
        </w:tc>
        <w:tc>
          <w:tcPr>
            <w:tcW w:type="dxa" w:w="1234"/>
          </w:tcPr>
          <w:p>
            <w:r>
              <w:rPr>
                <w:sz w:val="18"/>
              </w:rPr>
              <w:t>0.129</w:t>
            </w:r>
          </w:p>
        </w:tc>
        <w:tc>
          <w:tcPr>
            <w:tcW w:type="dxa" w:w="1234"/>
          </w:tcPr>
          <w:p>
            <w:r>
              <w:rPr>
                <w:sz w:val="18"/>
              </w:rPr>
              <w:t>14.4</w:t>
            </w:r>
          </w:p>
        </w:tc>
        <w:tc>
          <w:tcPr>
            <w:tcW w:type="dxa" w:w="1234"/>
          </w:tcPr>
          <w:p>
            <w:r>
              <w:rPr>
                <w:sz w:val="18"/>
              </w:rPr>
              <w:t>—</w:t>
            </w:r>
          </w:p>
        </w:tc>
      </w:tr>
      <w:tr>
        <w:tc>
          <w:tcPr>
            <w:tcW w:type="dxa" w:w="1234"/>
          </w:tcPr>
          <w:p>
            <w:r>
              <w:rPr>
                <w:sz w:val="18"/>
              </w:rPr>
              <w:t>0.01</w:t>
            </w:r>
          </w:p>
        </w:tc>
        <w:tc>
          <w:tcPr>
            <w:tcW w:type="dxa" w:w="1234"/>
          </w:tcPr>
          <w:p>
            <w:r>
              <w:rPr>
                <w:sz w:val="18"/>
              </w:rPr>
              <w:t>0.170</w:t>
            </w:r>
          </w:p>
        </w:tc>
        <w:tc>
          <w:tcPr>
            <w:tcW w:type="dxa" w:w="1234"/>
          </w:tcPr>
          <w:p>
            <w:r>
              <w:rPr>
                <w:sz w:val="18"/>
              </w:rPr>
              <w:t>14.0</w:t>
            </w:r>
          </w:p>
        </w:tc>
        <w:tc>
          <w:tcPr>
            <w:tcW w:type="dxa" w:w="1234"/>
          </w:tcPr>
          <w:p>
            <w:r>
              <w:rPr>
                <w:sz w:val="18"/>
              </w:rPr>
              <w:t>−13.7%</w:t>
            </w:r>
          </w:p>
        </w:tc>
        <w:tc>
          <w:tcPr>
            <w:tcW w:type="dxa" w:w="1234"/>
          </w:tcPr>
          <w:p>
            <w:r>
              <w:rPr>
                <w:sz w:val="18"/>
              </w:rPr>
              <w:t>0.105</w:t>
            </w:r>
          </w:p>
        </w:tc>
        <w:tc>
          <w:tcPr>
            <w:tcW w:type="dxa" w:w="1234"/>
          </w:tcPr>
          <w:p>
            <w:r>
              <w:rPr>
                <w:sz w:val="18"/>
              </w:rPr>
              <w:t>14.6</w:t>
            </w:r>
          </w:p>
        </w:tc>
        <w:tc>
          <w:tcPr>
            <w:tcW w:type="dxa" w:w="1234"/>
          </w:tcPr>
          <w:p>
            <w:r>
              <w:rPr>
                <w:sz w:val="18"/>
              </w:rPr>
              <w:t>−18.6%</w:t>
            </w:r>
          </w:p>
        </w:tc>
      </w:tr>
      <w:tr>
        <w:tc>
          <w:tcPr>
            <w:tcW w:type="dxa" w:w="1234"/>
          </w:tcPr>
          <w:p>
            <w:r>
              <w:rPr>
                <w:sz w:val="18"/>
              </w:rPr>
              <w:t>0.02</w:t>
            </w:r>
          </w:p>
        </w:tc>
        <w:tc>
          <w:tcPr>
            <w:tcW w:type="dxa" w:w="1234"/>
          </w:tcPr>
          <w:p>
            <w:r>
              <w:rPr>
                <w:sz w:val="18"/>
              </w:rPr>
              <w:t>0.157</w:t>
            </w:r>
          </w:p>
        </w:tc>
        <w:tc>
          <w:tcPr>
            <w:tcW w:type="dxa" w:w="1234"/>
          </w:tcPr>
          <w:p>
            <w:r>
              <w:rPr>
                <w:sz w:val="18"/>
              </w:rPr>
              <w:t>14.2</w:t>
            </w:r>
          </w:p>
        </w:tc>
        <w:tc>
          <w:tcPr>
            <w:tcW w:type="dxa" w:w="1234"/>
          </w:tcPr>
          <w:p>
            <w:r>
              <w:rPr>
                <w:sz w:val="18"/>
              </w:rPr>
              <w:t>−20.3%</w:t>
            </w:r>
          </w:p>
        </w:tc>
        <w:tc>
          <w:tcPr>
            <w:tcW w:type="dxa" w:w="1234"/>
          </w:tcPr>
          <w:p>
            <w:r>
              <w:rPr>
                <w:sz w:val="18"/>
              </w:rPr>
              <w:t>0.099</w:t>
            </w:r>
          </w:p>
        </w:tc>
        <w:tc>
          <w:tcPr>
            <w:tcW w:type="dxa" w:w="1234"/>
          </w:tcPr>
          <w:p>
            <w:r>
              <w:rPr>
                <w:sz w:val="18"/>
              </w:rPr>
              <w:t>14.8</w:t>
            </w:r>
          </w:p>
        </w:tc>
        <w:tc>
          <w:tcPr>
            <w:tcW w:type="dxa" w:w="1234"/>
          </w:tcPr>
          <w:p>
            <w:r>
              <w:rPr>
                <w:sz w:val="18"/>
              </w:rPr>
              <w:t>−23.6%</w:t>
            </w:r>
          </w:p>
        </w:tc>
      </w:tr>
      <w:tr>
        <w:tc>
          <w:tcPr>
            <w:tcW w:type="dxa" w:w="1234"/>
          </w:tcPr>
          <w:p>
            <w:r>
              <w:rPr>
                <w:sz w:val="18"/>
              </w:rPr>
              <w:t>0.05</w:t>
            </w:r>
          </w:p>
        </w:tc>
        <w:tc>
          <w:tcPr>
            <w:tcW w:type="dxa" w:w="1234"/>
          </w:tcPr>
          <w:p>
            <w:r>
              <w:rPr>
                <w:sz w:val="18"/>
              </w:rPr>
              <w:t>0.144</w:t>
            </w:r>
          </w:p>
        </w:tc>
        <w:tc>
          <w:tcPr>
            <w:tcW w:type="dxa" w:w="1234"/>
          </w:tcPr>
          <w:p>
            <w:r>
              <w:rPr>
                <w:sz w:val="18"/>
              </w:rPr>
              <w:t>15.1</w:t>
            </w:r>
          </w:p>
        </w:tc>
        <w:tc>
          <w:tcPr>
            <w:tcW w:type="dxa" w:w="1234"/>
          </w:tcPr>
          <w:p>
            <w:r>
              <w:rPr>
                <w:sz w:val="18"/>
              </w:rPr>
              <w:t>−26.9%</w:t>
            </w:r>
          </w:p>
        </w:tc>
        <w:tc>
          <w:tcPr>
            <w:tcW w:type="dxa" w:w="1234"/>
          </w:tcPr>
          <w:p>
            <w:r>
              <w:rPr>
                <w:sz w:val="18"/>
              </w:rPr>
              <w:t>0.097</w:t>
            </w:r>
          </w:p>
        </w:tc>
        <w:tc>
          <w:tcPr>
            <w:tcW w:type="dxa" w:w="1234"/>
          </w:tcPr>
          <w:p>
            <w:r>
              <w:rPr>
                <w:sz w:val="18"/>
              </w:rPr>
              <w:t>15.8</w:t>
            </w:r>
          </w:p>
        </w:tc>
        <w:tc>
          <w:tcPr>
            <w:tcW w:type="dxa" w:w="1234"/>
          </w:tcPr>
          <w:p>
            <w:r>
              <w:rPr>
                <w:sz w:val="18"/>
              </w:rPr>
              <w:t>−24.7%</w:t>
            </w:r>
          </w:p>
        </w:tc>
      </w:tr>
      <w:tr>
        <w:tc>
          <w:tcPr>
            <w:tcW w:type="dxa" w:w="1234"/>
          </w:tcPr>
          <w:p>
            <w:r>
              <w:rPr>
                <w:sz w:val="18"/>
              </w:rPr>
              <w:t>0.10</w:t>
            </w:r>
          </w:p>
        </w:tc>
        <w:tc>
          <w:tcPr>
            <w:tcW w:type="dxa" w:w="1234"/>
          </w:tcPr>
          <w:p>
            <w:r>
              <w:rPr>
                <w:sz w:val="18"/>
              </w:rPr>
              <w:t>0.147</w:t>
            </w:r>
          </w:p>
        </w:tc>
        <w:tc>
          <w:tcPr>
            <w:tcW w:type="dxa" w:w="1234"/>
          </w:tcPr>
          <w:p>
            <w:r>
              <w:rPr>
                <w:sz w:val="18"/>
              </w:rPr>
              <w:t>17.2</w:t>
            </w:r>
          </w:p>
        </w:tc>
        <w:tc>
          <w:tcPr>
            <w:tcW w:type="dxa" w:w="1234"/>
          </w:tcPr>
          <w:p>
            <w:r>
              <w:rPr>
                <w:sz w:val="18"/>
              </w:rPr>
              <w:t>−25.2%</w:t>
            </w:r>
          </w:p>
        </w:tc>
        <w:tc>
          <w:tcPr>
            <w:tcW w:type="dxa" w:w="1234"/>
          </w:tcPr>
          <w:p>
            <w:r>
              <w:rPr>
                <w:sz w:val="18"/>
              </w:rPr>
              <w:t>0.102</w:t>
            </w:r>
          </w:p>
        </w:tc>
        <w:tc>
          <w:tcPr>
            <w:tcW w:type="dxa" w:w="1234"/>
          </w:tcPr>
          <w:p>
            <w:r>
              <w:rPr>
                <w:sz w:val="18"/>
              </w:rPr>
              <w:t>18.0</w:t>
            </w:r>
          </w:p>
        </w:tc>
        <w:tc>
          <w:tcPr>
            <w:tcW w:type="dxa" w:w="1234"/>
          </w:tcPr>
          <w:p>
            <w:r>
              <w:rPr>
                <w:sz w:val="18"/>
              </w:rPr>
              <w:t>−20.7%</w:t>
            </w:r>
          </w:p>
        </w:tc>
      </w:tr>
      <w:tr>
        <w:tc>
          <w:tcPr>
            <w:tcW w:type="dxa" w:w="1234"/>
          </w:tcPr>
          <w:p>
            <w:r>
              <w:rPr>
                <w:sz w:val="18"/>
              </w:rPr>
              <w:t>0.15</w:t>
            </w:r>
          </w:p>
        </w:tc>
        <w:tc>
          <w:tcPr>
            <w:tcW w:type="dxa" w:w="1234"/>
          </w:tcPr>
          <w:p>
            <w:r>
              <w:rPr>
                <w:sz w:val="18"/>
              </w:rPr>
              <w:t>0.146</w:t>
            </w:r>
          </w:p>
        </w:tc>
        <w:tc>
          <w:tcPr>
            <w:tcW w:type="dxa" w:w="1234"/>
          </w:tcPr>
          <w:p>
            <w:r>
              <w:rPr>
                <w:sz w:val="18"/>
              </w:rPr>
              <w:t>20.5</w:t>
            </w:r>
          </w:p>
        </w:tc>
        <w:tc>
          <w:tcPr>
            <w:tcW w:type="dxa" w:w="1234"/>
          </w:tcPr>
          <w:p>
            <w:r>
              <w:rPr>
                <w:sz w:val="18"/>
              </w:rPr>
              <w:t>−25.9%</w:t>
            </w:r>
          </w:p>
        </w:tc>
        <w:tc>
          <w:tcPr>
            <w:tcW w:type="dxa" w:w="1234"/>
          </w:tcPr>
          <w:p>
            <w:r>
              <w:rPr>
                <w:sz w:val="18"/>
              </w:rPr>
              <w:t>0.108</w:t>
            </w:r>
          </w:p>
        </w:tc>
        <w:tc>
          <w:tcPr>
            <w:tcW w:type="dxa" w:w="1234"/>
          </w:tcPr>
          <w:p>
            <w:r>
              <w:rPr>
                <w:sz w:val="18"/>
              </w:rPr>
              <w:t>22.3</w:t>
            </w:r>
          </w:p>
        </w:tc>
        <w:tc>
          <w:tcPr>
            <w:tcW w:type="dxa" w:w="1234"/>
          </w:tcPr>
          <w:p>
            <w:r>
              <w:rPr>
                <w:sz w:val="18"/>
              </w:rPr>
              <w:t>−16.5%</w:t>
            </w:r>
          </w:p>
        </w:tc>
      </w:tr>
      <w:tr>
        <w:tc>
          <w:tcPr>
            <w:tcW w:type="dxa" w:w="1234"/>
          </w:tcPr>
          <w:p>
            <w:r>
              <w:rPr>
                <w:sz w:val="18"/>
              </w:rPr>
              <w:t>0.20</w:t>
            </w:r>
          </w:p>
        </w:tc>
        <w:tc>
          <w:tcPr>
            <w:tcW w:type="dxa" w:w="1234"/>
          </w:tcPr>
          <w:p>
            <w:r>
              <w:rPr>
                <w:sz w:val="18"/>
              </w:rPr>
              <w:t>0.147</w:t>
            </w:r>
          </w:p>
        </w:tc>
        <w:tc>
          <w:tcPr>
            <w:tcW w:type="dxa" w:w="1234"/>
          </w:tcPr>
          <w:p>
            <w:r>
              <w:rPr>
                <w:sz w:val="18"/>
              </w:rPr>
              <w:t>25.3</w:t>
            </w:r>
          </w:p>
        </w:tc>
        <w:tc>
          <w:tcPr>
            <w:tcW w:type="dxa" w:w="1234"/>
          </w:tcPr>
          <w:p>
            <w:r>
              <w:rPr>
                <w:sz w:val="18"/>
              </w:rPr>
              <w:t>−25.6%</w:t>
            </w:r>
          </w:p>
        </w:tc>
        <w:tc>
          <w:tcPr>
            <w:tcW w:type="dxa" w:w="1234"/>
          </w:tcPr>
          <w:p>
            <w:r>
              <w:rPr>
                <w:sz w:val="18"/>
              </w:rPr>
              <w:t>0.112</w:t>
            </w:r>
          </w:p>
        </w:tc>
        <w:tc>
          <w:tcPr>
            <w:tcW w:type="dxa" w:w="1234"/>
          </w:tcPr>
          <w:p>
            <w:r>
              <w:rPr>
                <w:sz w:val="18"/>
              </w:rPr>
              <w:t>30.3</w:t>
            </w:r>
          </w:p>
        </w:tc>
        <w:tc>
          <w:tcPr>
            <w:tcW w:type="dxa" w:w="1234"/>
          </w:tcPr>
          <w:p>
            <w:r>
              <w:rPr>
                <w:sz w:val="18"/>
              </w:rPr>
              <w:t>−13.6%</w:t>
            </w:r>
          </w:p>
        </w:tc>
      </w:tr>
      <w:tr>
        <w:tc>
          <w:tcPr>
            <w:tcW w:type="dxa" w:w="1234"/>
          </w:tcPr>
          <w:p>
            <w:r>
              <w:rPr>
                <w:sz w:val="18"/>
              </w:rPr>
              <w:t>0.30</w:t>
            </w:r>
          </w:p>
        </w:tc>
        <w:tc>
          <w:tcPr>
            <w:tcW w:type="dxa" w:w="1234"/>
          </w:tcPr>
          <w:p>
            <w:r>
              <w:rPr>
                <w:sz w:val="18"/>
              </w:rPr>
              <w:t>0.232</w:t>
            </w:r>
          </w:p>
        </w:tc>
        <w:tc>
          <w:tcPr>
            <w:tcW w:type="dxa" w:w="1234"/>
          </w:tcPr>
          <w:p>
            <w:r>
              <w:rPr>
                <w:sz w:val="18"/>
              </w:rPr>
              <w:t>72.0</w:t>
            </w:r>
          </w:p>
        </w:tc>
        <w:tc>
          <w:tcPr>
            <w:tcW w:type="dxa" w:w="1234"/>
          </w:tcPr>
          <w:p>
            <w:r>
              <w:rPr>
                <w:sz w:val="18"/>
              </w:rPr>
              <w:t>+17.8%</w:t>
            </w:r>
          </w:p>
        </w:tc>
        <w:tc>
          <w:tcPr>
            <w:tcW w:type="dxa" w:w="1234"/>
          </w:tcPr>
          <w:p>
            <w:r>
              <w:rPr>
                <w:sz w:val="18"/>
              </w:rPr>
              <w:t>0.182</w:t>
            </w:r>
          </w:p>
        </w:tc>
        <w:tc>
          <w:tcPr>
            <w:tcW w:type="dxa" w:w="1234"/>
          </w:tcPr>
          <w:p>
            <w:r>
              <w:rPr>
                <w:sz w:val="18"/>
              </w:rPr>
              <w:t>72.0</w:t>
            </w:r>
          </w:p>
        </w:tc>
        <w:tc>
          <w:tcPr>
            <w:tcW w:type="dxa" w:w="1234"/>
          </w:tcPr>
          <w:p>
            <w:r>
              <w:rPr>
                <w:sz w:val="18"/>
              </w:rPr>
              <w:t>+41.4%</w:t>
            </w:r>
          </w:p>
        </w:tc>
      </w:tr>
    </w:tbl>
    <w:p>
      <w:r>
        <w:rPr>
          <w:b w:val="0"/>
          <w:i/>
          <w:sz w:val="18"/>
        </w:rPr>
        <w:t>Table 2.5: Config E2 (HRX + Solar, dynamic evaporator, A_c = 10 m²) VPD exhaust bypass sweep.</w:t>
      </w:r>
    </w:p>
    <w:p>
      <w:r>
        <w:rPr>
          <w:b w:val="0"/>
          <w:i w:val="0"/>
          <w:sz w:val="22"/>
        </w:rPr>
        <w:t>The E configurations show the sharpest knee in the SEC–time curve at threshold = 0.05. At this threshold:</w:t>
      </w:r>
    </w:p>
    <w:p>
      <w:pPr>
        <w:pStyle w:val="ListBullet"/>
      </w:pPr>
      <w:r>
        <w:rPr>
          <w:sz w:val="20"/>
        </w:rPr>
        <w:t>E1: SEC reduces by 29–31% (KTM: 0.220 → 0.152; BTN: 0.141 → 0.101 kWh/kg) with only 1–2 h extra drying time.</w:t>
      </w:r>
    </w:p>
    <w:p>
      <w:pPr>
        <w:pStyle w:val="ListBullet"/>
      </w:pPr>
      <w:r>
        <w:rPr>
          <w:sz w:val="20"/>
        </w:rPr>
        <w:t>E2: SEC reduces by 25–27% (KTM: 0.197 → 0.144; BTN: 0.129 → 0.097 kWh/kg) with only 1–2 h extra drying time.</w:t>
      </w:r>
    </w:p>
    <w:p>
      <w:r>
        <w:rPr>
          <w:b w:val="0"/>
          <w:i w:val="0"/>
          <w:sz w:val="22"/>
        </w:rPr>
        <w:t>Above threshold = 0.05, the E configs show diminishing returns with rapidly increasing drying time. This is because the solar collector already provides substantial free energy; during bypass, the system loses access to the HRX’s heat recovery while the solar benefit alone is insufficient to maintain the drying rate. The optimal threshold for E configs (0.05) is lower than for D configs (0.10–0.15) because the solar energy makes the system more sensitive to operational disruptions.</w:t>
      </w:r>
    </w:p>
    <w:p>
      <w:r>
        <w:rPr>
          <w:b w:val="0"/>
          <w:i w:val="0"/>
          <w:sz w:val="22"/>
        </w:rPr>
        <w:t>E2 at Biratnagar with threshold = 0.05 achieves SEC = 0.097 kWh/kg, which represents the lowest specific energy consumption across all configurations and conditions tested in this study. This is 86% lower than the Config A baseline (0.717 kWh/kg at r = 0) and 82% lower than Config A with recirculation (0.543 kWh/kg at r = 0).</w:t>
      </w:r>
    </w:p>
    <w:p>
      <w:pPr>
        <w:pStyle w:val="Heading2"/>
      </w:pPr>
      <w:r>
        <w:t>2.6  Optimal Threshold Selection: Balancing SEC and Drying Time</w:t>
      </w:r>
    </w:p>
    <w:p>
      <w:r>
        <w:rPr>
          <w:b w:val="0"/>
          <w:i w:val="0"/>
          <w:sz w:val="22"/>
        </w:rPr>
        <w:t>Table 2.6 summarises the recommended thresholds, selected to achieve substantial SEC reduction while keeping drying time within practical limits (no more than ~2 h increase over the baseline ~14 h cycle).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Config</w:t>
            </w:r>
          </w:p>
        </w:tc>
        <w:tc>
          <w:tcPr>
            <w:tcW w:type="dxa" w:w="1440"/>
          </w:tcPr>
          <w:p>
            <w:r>
              <w:rPr>
                <w:b/>
                <w:sz w:val="18"/>
              </w:rPr>
              <w:t>Bypass type</w:t>
            </w:r>
          </w:p>
        </w:tc>
        <w:tc>
          <w:tcPr>
            <w:tcW w:type="dxa" w:w="1440"/>
          </w:tcPr>
          <w:p>
            <w:r>
              <w:rPr>
                <w:b/>
                <w:sz w:val="18"/>
              </w:rPr>
              <w:t>Recommended</w:t>
              <w:br/>
              <w:t>threshold</w:t>
            </w:r>
          </w:p>
        </w:tc>
        <w:tc>
          <w:tcPr>
            <w:tcW w:type="dxa" w:w="1440"/>
          </w:tcPr>
          <w:p>
            <w:r>
              <w:rPr>
                <w:b/>
                <w:sz w:val="18"/>
              </w:rPr>
              <w:t>KTM SEC</w:t>
              <w:br/>
              <w:t>(vs baseline)</w:t>
            </w:r>
          </w:p>
        </w:tc>
        <w:tc>
          <w:tcPr>
            <w:tcW w:type="dxa" w:w="1440"/>
          </w:tcPr>
          <w:p>
            <w:r>
              <w:rPr>
                <w:b/>
                <w:sz w:val="18"/>
              </w:rPr>
              <w:t>BTN SEC</w:t>
              <w:br/>
              <w:t>(vs baseline)</w:t>
            </w:r>
          </w:p>
        </w:tc>
        <w:tc>
          <w:tcPr>
            <w:tcW w:type="dxa" w:w="1440"/>
          </w:tcPr>
          <w:p>
            <w:r>
              <w:rPr>
                <w:b/>
                <w:sz w:val="18"/>
              </w:rPr>
              <w:t>Time increase</w:t>
            </w:r>
          </w:p>
        </w:tc>
      </w:tr>
      <w:tr>
        <w:tc>
          <w:tcPr>
            <w:tcW w:type="dxa" w:w="1440"/>
          </w:tcPr>
          <w:p>
            <w:r>
              <w:rPr>
                <w:sz w:val="18"/>
              </w:rPr>
              <w:t>A (r=0.9)</w:t>
            </w:r>
          </w:p>
        </w:tc>
        <w:tc>
          <w:tcPr>
            <w:tcW w:type="dxa" w:w="1440"/>
          </w:tcPr>
          <w:p>
            <w:r>
              <w:rPr>
                <w:sz w:val="18"/>
              </w:rPr>
              <w:t>Cond-direct</w:t>
            </w:r>
          </w:p>
        </w:tc>
        <w:tc>
          <w:tcPr>
            <w:tcW w:type="dxa" w:w="1440"/>
          </w:tcPr>
          <w:p>
            <w:r>
              <w:rPr>
                <w:sz w:val="18"/>
              </w:rPr>
              <w:t>0.05</w:t>
            </w:r>
          </w:p>
        </w:tc>
        <w:tc>
          <w:tcPr>
            <w:tcW w:type="dxa" w:w="1440"/>
          </w:tcPr>
          <w:p>
            <w:r>
              <w:rPr>
                <w:sz w:val="18"/>
              </w:rPr>
              <w:t>0.536 (−20%)</w:t>
            </w:r>
          </w:p>
        </w:tc>
        <w:tc>
          <w:tcPr>
            <w:tcW w:type="dxa" w:w="1440"/>
          </w:tcPr>
          <w:p>
            <w:r>
              <w:rPr>
                <w:sz w:val="18"/>
              </w:rPr>
              <w:t>0.617 (−18%)</w:t>
            </w:r>
          </w:p>
        </w:tc>
        <w:tc>
          <w:tcPr>
            <w:tcW w:type="dxa" w:w="1440"/>
          </w:tcPr>
          <w:p>
            <w:r>
              <w:rPr>
                <w:sz w:val="18"/>
              </w:rPr>
              <w:t>+1 h</w:t>
            </w:r>
          </w:p>
        </w:tc>
      </w:tr>
      <w:tr>
        <w:tc>
          <w:tcPr>
            <w:tcW w:type="dxa" w:w="1440"/>
          </w:tcPr>
          <w:p>
            <w:r>
              <w:rPr>
                <w:sz w:val="18"/>
              </w:rPr>
              <w:t>D1</w:t>
            </w:r>
          </w:p>
        </w:tc>
        <w:tc>
          <w:tcPr>
            <w:tcW w:type="dxa" w:w="1440"/>
          </w:tcPr>
          <w:p>
            <w:r>
              <w:rPr>
                <w:sz w:val="18"/>
              </w:rPr>
              <w:t>Exhaust</w:t>
            </w:r>
          </w:p>
        </w:tc>
        <w:tc>
          <w:tcPr>
            <w:tcW w:type="dxa" w:w="1440"/>
          </w:tcPr>
          <w:p>
            <w:r>
              <w:rPr>
                <w:sz w:val="18"/>
              </w:rPr>
              <w:t>0.05</w:t>
            </w:r>
          </w:p>
        </w:tc>
        <w:tc>
          <w:tcPr>
            <w:tcW w:type="dxa" w:w="1440"/>
          </w:tcPr>
          <w:p>
            <w:r>
              <w:rPr>
                <w:sz w:val="18"/>
              </w:rPr>
              <w:t>0.287 (−21%)</w:t>
            </w:r>
          </w:p>
        </w:tc>
        <w:tc>
          <w:tcPr>
            <w:tcW w:type="dxa" w:w="1440"/>
          </w:tcPr>
          <w:p>
            <w:r>
              <w:rPr>
                <w:sz w:val="18"/>
              </w:rPr>
              <w:t>0.238 (−19%)</w:t>
            </w:r>
          </w:p>
        </w:tc>
        <w:tc>
          <w:tcPr>
            <w:tcW w:type="dxa" w:w="1440"/>
          </w:tcPr>
          <w:p>
            <w:r>
              <w:rPr>
                <w:sz w:val="18"/>
              </w:rPr>
              <w:t>+1–2 h</w:t>
            </w:r>
          </w:p>
        </w:tc>
      </w:tr>
      <w:tr>
        <w:tc>
          <w:tcPr>
            <w:tcW w:type="dxa" w:w="1440"/>
          </w:tcPr>
          <w:p>
            <w:r>
              <w:rPr>
                <w:sz w:val="18"/>
              </w:rPr>
              <w:t>D2</w:t>
            </w:r>
          </w:p>
        </w:tc>
        <w:tc>
          <w:tcPr>
            <w:tcW w:type="dxa" w:w="1440"/>
          </w:tcPr>
          <w:p>
            <w:r>
              <w:rPr>
                <w:sz w:val="18"/>
              </w:rPr>
              <w:t>Exhaust</w:t>
            </w:r>
          </w:p>
        </w:tc>
        <w:tc>
          <w:tcPr>
            <w:tcW w:type="dxa" w:w="1440"/>
          </w:tcPr>
          <w:p>
            <w:r>
              <w:rPr>
                <w:sz w:val="18"/>
              </w:rPr>
              <w:t>0.05</w:t>
            </w:r>
          </w:p>
        </w:tc>
        <w:tc>
          <w:tcPr>
            <w:tcW w:type="dxa" w:w="1440"/>
          </w:tcPr>
          <w:p>
            <w:r>
              <w:rPr>
                <w:sz w:val="18"/>
              </w:rPr>
              <w:t>0.289 (−18%)</w:t>
            </w:r>
          </w:p>
        </w:tc>
        <w:tc>
          <w:tcPr>
            <w:tcW w:type="dxa" w:w="1440"/>
          </w:tcPr>
          <w:p>
            <w:r>
              <w:rPr>
                <w:sz w:val="18"/>
              </w:rPr>
              <w:t>0.239 (−15%)</w:t>
            </w:r>
          </w:p>
        </w:tc>
        <w:tc>
          <w:tcPr>
            <w:tcW w:type="dxa" w:w="1440"/>
          </w:tcPr>
          <w:p>
            <w:r>
              <w:rPr>
                <w:sz w:val="18"/>
              </w:rPr>
              <w:t>+1–2 h</w:t>
            </w:r>
          </w:p>
        </w:tc>
      </w:tr>
      <w:tr>
        <w:tc>
          <w:tcPr>
            <w:tcW w:type="dxa" w:w="1440"/>
          </w:tcPr>
          <w:p>
            <w:r>
              <w:rPr>
                <w:sz w:val="18"/>
              </w:rPr>
              <w:t>E1 (10 m²)</w:t>
            </w:r>
          </w:p>
        </w:tc>
        <w:tc>
          <w:tcPr>
            <w:tcW w:type="dxa" w:w="1440"/>
          </w:tcPr>
          <w:p>
            <w:r>
              <w:rPr>
                <w:sz w:val="18"/>
              </w:rPr>
              <w:t>Exhaust</w:t>
            </w:r>
          </w:p>
        </w:tc>
        <w:tc>
          <w:tcPr>
            <w:tcW w:type="dxa" w:w="1440"/>
          </w:tcPr>
          <w:p>
            <w:r>
              <w:rPr>
                <w:sz w:val="18"/>
              </w:rPr>
              <w:t>0.05</w:t>
            </w:r>
          </w:p>
        </w:tc>
        <w:tc>
          <w:tcPr>
            <w:tcW w:type="dxa" w:w="1440"/>
          </w:tcPr>
          <w:p>
            <w:r>
              <w:rPr>
                <w:sz w:val="18"/>
              </w:rPr>
              <w:t>0.152 (−31%)</w:t>
            </w:r>
          </w:p>
        </w:tc>
        <w:tc>
          <w:tcPr>
            <w:tcW w:type="dxa" w:w="1440"/>
          </w:tcPr>
          <w:p>
            <w:r>
              <w:rPr>
                <w:sz w:val="18"/>
              </w:rPr>
              <w:t>0.101 (−29%)</w:t>
            </w:r>
          </w:p>
        </w:tc>
        <w:tc>
          <w:tcPr>
            <w:tcW w:type="dxa" w:w="1440"/>
          </w:tcPr>
          <w:p>
            <w:r>
              <w:rPr>
                <w:sz w:val="18"/>
              </w:rPr>
              <w:t>+1–2 h</w:t>
            </w:r>
          </w:p>
        </w:tc>
      </w:tr>
      <w:tr>
        <w:tc>
          <w:tcPr>
            <w:tcW w:type="dxa" w:w="1440"/>
          </w:tcPr>
          <w:p>
            <w:r>
              <w:rPr>
                <w:sz w:val="18"/>
              </w:rPr>
              <w:t>E2 (10 m²)</w:t>
            </w:r>
          </w:p>
        </w:tc>
        <w:tc>
          <w:tcPr>
            <w:tcW w:type="dxa" w:w="1440"/>
          </w:tcPr>
          <w:p>
            <w:r>
              <w:rPr>
                <w:sz w:val="18"/>
              </w:rPr>
              <w:t>Exhaust</w:t>
            </w:r>
          </w:p>
        </w:tc>
        <w:tc>
          <w:tcPr>
            <w:tcW w:type="dxa" w:w="1440"/>
          </w:tcPr>
          <w:p>
            <w:r>
              <w:rPr>
                <w:sz w:val="18"/>
              </w:rPr>
              <w:t>0.05</w:t>
            </w:r>
          </w:p>
        </w:tc>
        <w:tc>
          <w:tcPr>
            <w:tcW w:type="dxa" w:w="1440"/>
          </w:tcPr>
          <w:p>
            <w:r>
              <w:rPr>
                <w:sz w:val="18"/>
              </w:rPr>
              <w:t>0.144 (−27%)</w:t>
            </w:r>
          </w:p>
        </w:tc>
        <w:tc>
          <w:tcPr>
            <w:tcW w:type="dxa" w:w="1440"/>
          </w:tcPr>
          <w:p>
            <w:r>
              <w:rPr>
                <w:sz w:val="18"/>
              </w:rPr>
              <w:t>0.097 (−25%)</w:t>
            </w:r>
          </w:p>
        </w:tc>
        <w:tc>
          <w:tcPr>
            <w:tcW w:type="dxa" w:w="1440"/>
          </w:tcPr>
          <w:p>
            <w:r>
              <w:rPr>
                <w:sz w:val="18"/>
              </w:rPr>
              <w:t>+1–2 h</w:t>
            </w:r>
          </w:p>
        </w:tc>
      </w:tr>
    </w:tbl>
    <w:p>
      <w:r>
        <w:rPr>
          <w:b w:val="0"/>
          <w:i/>
          <w:sz w:val="18"/>
        </w:rPr>
        <w:t>Table 2.6: Recommended VPD bypass thresholds balancing SEC and drying time.</w:t>
      </w:r>
    </w:p>
    <w:p>
      <w:r>
        <w:rPr>
          <w:b w:val="0"/>
          <w:i w:val="0"/>
          <w:sz w:val="22"/>
        </w:rPr>
        <w:t>A uniform threshold of 0.05 is recommended across all configurations. While D configs show marginally better SEC at 0.10–0.15, the drying time penalty (3–6 h additional) makes these impractical for daily batch operations where the dryer must complete a cycle within one working period.</w:t>
      </w:r>
    </w:p>
    <w:p>
      <w:r>
        <w:rPr>
          <w:b w:val="0"/>
          <w:i w:val="0"/>
          <w:sz w:val="22"/>
        </w:rPr>
        <w:t>For Config A, the threshold operates on a different metric (condenser penalty rather than VPD utilisation), but the 0.05 value provides a comparable balance. Higher thresholds (0.10–0.15) are available for applications where energy cost is critical and a longer drying period is acceptable.</w:t>
      </w:r>
    </w:p>
    <w:p>
      <w:pPr>
        <w:pStyle w:val="Heading2"/>
      </w:pPr>
      <w:r>
        <w:t>2.7  Summary: VPD Bypass Impact on System Performance</w:t>
      </w:r>
    </w:p>
    <w:p>
      <w:r>
        <w:rPr>
          <w:b w:val="0"/>
          <w:i w:val="0"/>
          <w:sz w:val="22"/>
        </w:rPr>
        <w:t>Table 2.7 provides a comprehensive comparison of all configurations with and without VPD bypass at the recommended threshold of 0.05, alongside the Config A open-loop baseline.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Config</w:t>
            </w:r>
          </w:p>
        </w:tc>
        <w:tc>
          <w:tcPr>
            <w:tcW w:type="dxa" w:w="1440"/>
          </w:tcPr>
          <w:p>
            <w:r>
              <w:rPr>
                <w:b/>
                <w:sz w:val="18"/>
              </w:rPr>
              <w:t>VPD</w:t>
            </w:r>
          </w:p>
        </w:tc>
        <w:tc>
          <w:tcPr>
            <w:tcW w:type="dxa" w:w="1440"/>
          </w:tcPr>
          <w:p>
            <w:r>
              <w:rPr>
                <w:b/>
                <w:sz w:val="18"/>
              </w:rPr>
              <w:t>KTM SEC</w:t>
            </w:r>
          </w:p>
        </w:tc>
        <w:tc>
          <w:tcPr>
            <w:tcW w:type="dxa" w:w="1440"/>
          </w:tcPr>
          <w:p>
            <w:r>
              <w:rPr>
                <w:b/>
                <w:sz w:val="18"/>
              </w:rPr>
              <w:t>BTN SEC</w:t>
            </w:r>
          </w:p>
        </w:tc>
        <w:tc>
          <w:tcPr>
            <w:tcW w:type="dxa" w:w="1440"/>
          </w:tcPr>
          <w:p>
            <w:r>
              <w:rPr>
                <w:b/>
                <w:sz w:val="18"/>
              </w:rPr>
              <w:t>KTM time (h)</w:t>
            </w:r>
          </w:p>
        </w:tc>
        <w:tc>
          <w:tcPr>
            <w:tcW w:type="dxa" w:w="1440"/>
          </w:tcPr>
          <w:p>
            <w:r>
              <w:rPr>
                <w:b/>
                <w:sz w:val="18"/>
              </w:rPr>
              <w:t>BTN time (h)</w:t>
            </w:r>
          </w:p>
        </w:tc>
      </w:tr>
      <w:tr>
        <w:tc>
          <w:tcPr>
            <w:tcW w:type="dxa" w:w="1440"/>
          </w:tcPr>
          <w:p>
            <w:r>
              <w:rPr>
                <w:sz w:val="18"/>
              </w:rPr>
              <w:t>A (r=0)</w:t>
            </w:r>
          </w:p>
        </w:tc>
        <w:tc>
          <w:tcPr>
            <w:tcW w:type="dxa" w:w="1440"/>
          </w:tcPr>
          <w:p>
            <w:r>
              <w:rPr>
                <w:sz w:val="18"/>
              </w:rPr>
              <w:t>OFF</w:t>
            </w:r>
          </w:p>
        </w:tc>
        <w:tc>
          <w:tcPr>
            <w:tcW w:type="dxa" w:w="1440"/>
          </w:tcPr>
          <w:p>
            <w:r>
              <w:rPr>
                <w:sz w:val="18"/>
              </w:rPr>
              <w:t>0.717</w:t>
            </w:r>
          </w:p>
        </w:tc>
        <w:tc>
          <w:tcPr>
            <w:tcW w:type="dxa" w:w="1440"/>
          </w:tcPr>
          <w:p>
            <w:r>
              <w:rPr>
                <w:sz w:val="18"/>
              </w:rPr>
              <w:t>0.543</w:t>
            </w:r>
          </w:p>
        </w:tc>
        <w:tc>
          <w:tcPr>
            <w:tcW w:type="dxa" w:w="1440"/>
          </w:tcPr>
          <w:p>
            <w:r>
              <w:rPr>
                <w:sz w:val="18"/>
              </w:rPr>
              <w:t>13.8</w:t>
            </w:r>
          </w:p>
        </w:tc>
        <w:tc>
          <w:tcPr>
            <w:tcW w:type="dxa" w:w="1440"/>
          </w:tcPr>
          <w:p>
            <w:r>
              <w:rPr>
                <w:sz w:val="18"/>
              </w:rPr>
              <w:t>14.4</w:t>
            </w:r>
          </w:p>
        </w:tc>
      </w:tr>
      <w:tr>
        <w:tc>
          <w:tcPr>
            <w:tcW w:type="dxa" w:w="1440"/>
          </w:tcPr>
          <w:p>
            <w:r>
              <w:rPr>
                <w:sz w:val="18"/>
              </w:rPr>
              <w:t>A (r=0.9)</w:t>
            </w:r>
          </w:p>
        </w:tc>
        <w:tc>
          <w:tcPr>
            <w:tcW w:type="dxa" w:w="1440"/>
          </w:tcPr>
          <w:p>
            <w:r>
              <w:rPr>
                <w:sz w:val="18"/>
              </w:rPr>
              <w:t>OFF</w:t>
            </w:r>
          </w:p>
        </w:tc>
        <w:tc>
          <w:tcPr>
            <w:tcW w:type="dxa" w:w="1440"/>
          </w:tcPr>
          <w:p>
            <w:r>
              <w:rPr>
                <w:sz w:val="18"/>
              </w:rPr>
              <w:t>0.669</w:t>
            </w:r>
          </w:p>
        </w:tc>
        <w:tc>
          <w:tcPr>
            <w:tcW w:type="dxa" w:w="1440"/>
          </w:tcPr>
          <w:p>
            <w:r>
              <w:rPr>
                <w:sz w:val="18"/>
              </w:rPr>
              <w:t>0.753</w:t>
            </w:r>
          </w:p>
        </w:tc>
        <w:tc>
          <w:tcPr>
            <w:tcW w:type="dxa" w:w="1440"/>
          </w:tcPr>
          <w:p>
            <w:r>
              <w:rPr>
                <w:sz w:val="18"/>
              </w:rPr>
              <w:t>14.9</w:t>
            </w:r>
          </w:p>
        </w:tc>
        <w:tc>
          <w:tcPr>
            <w:tcW w:type="dxa" w:w="1440"/>
          </w:tcPr>
          <w:p>
            <w:r>
              <w:rPr>
                <w:sz w:val="18"/>
              </w:rPr>
              <w:t>14.6</w:t>
            </w:r>
          </w:p>
        </w:tc>
      </w:tr>
      <w:tr>
        <w:tc>
          <w:tcPr>
            <w:tcW w:type="dxa" w:w="1440"/>
          </w:tcPr>
          <w:p>
            <w:r>
              <w:rPr>
                <w:sz w:val="18"/>
              </w:rPr>
              <w:t>A (r=0.9)</w:t>
            </w:r>
          </w:p>
        </w:tc>
        <w:tc>
          <w:tcPr>
            <w:tcW w:type="dxa" w:w="1440"/>
          </w:tcPr>
          <w:p>
            <w:r>
              <w:rPr>
                <w:sz w:val="18"/>
              </w:rPr>
              <w:t>0.05</w:t>
            </w:r>
          </w:p>
        </w:tc>
        <w:tc>
          <w:tcPr>
            <w:tcW w:type="dxa" w:w="1440"/>
          </w:tcPr>
          <w:p>
            <w:r>
              <w:rPr>
                <w:sz w:val="18"/>
              </w:rPr>
              <w:t>0.536</w:t>
            </w:r>
          </w:p>
        </w:tc>
        <w:tc>
          <w:tcPr>
            <w:tcW w:type="dxa" w:w="1440"/>
          </w:tcPr>
          <w:p>
            <w:r>
              <w:rPr>
                <w:sz w:val="18"/>
              </w:rPr>
              <w:t>0.617</w:t>
            </w:r>
          </w:p>
        </w:tc>
        <w:tc>
          <w:tcPr>
            <w:tcW w:type="dxa" w:w="1440"/>
          </w:tcPr>
          <w:p>
            <w:r>
              <w:rPr>
                <w:sz w:val="18"/>
              </w:rPr>
              <w:t>15.6</w:t>
            </w:r>
          </w:p>
        </w:tc>
        <w:tc>
          <w:tcPr>
            <w:tcW w:type="dxa" w:w="1440"/>
          </w:tcPr>
          <w:p>
            <w:r>
              <w:rPr>
                <w:sz w:val="18"/>
              </w:rPr>
              <w:t>15.3</w:t>
            </w:r>
          </w:p>
        </w:tc>
      </w:tr>
      <w:tr>
        <w:tc>
          <w:tcPr>
            <w:tcW w:type="dxa" w:w="1440"/>
          </w:tcPr>
          <w:p>
            <w:r>
              <w:rPr>
                <w:sz w:val="18"/>
              </w:rPr>
              <w:t>D1</w:t>
            </w:r>
          </w:p>
        </w:tc>
        <w:tc>
          <w:tcPr>
            <w:tcW w:type="dxa" w:w="1440"/>
          </w:tcPr>
          <w:p>
            <w:r>
              <w:rPr>
                <w:sz w:val="18"/>
              </w:rPr>
              <w:t>OFF</w:t>
            </w:r>
          </w:p>
        </w:tc>
        <w:tc>
          <w:tcPr>
            <w:tcW w:type="dxa" w:w="1440"/>
          </w:tcPr>
          <w:p>
            <w:r>
              <w:rPr>
                <w:sz w:val="18"/>
              </w:rPr>
              <w:t>0.365</w:t>
            </w:r>
          </w:p>
        </w:tc>
        <w:tc>
          <w:tcPr>
            <w:tcW w:type="dxa" w:w="1440"/>
          </w:tcPr>
          <w:p>
            <w:r>
              <w:rPr>
                <w:sz w:val="18"/>
              </w:rPr>
              <w:t>0.293</w:t>
            </w:r>
          </w:p>
        </w:tc>
        <w:tc>
          <w:tcPr>
            <w:tcW w:type="dxa" w:w="1440"/>
          </w:tcPr>
          <w:p>
            <w:r>
              <w:rPr>
                <w:sz w:val="18"/>
              </w:rPr>
              <w:t>13.8</w:t>
            </w:r>
          </w:p>
        </w:tc>
        <w:tc>
          <w:tcPr>
            <w:tcW w:type="dxa" w:w="1440"/>
          </w:tcPr>
          <w:p>
            <w:r>
              <w:rPr>
                <w:sz w:val="18"/>
              </w:rPr>
              <w:t>14.4</w:t>
            </w:r>
          </w:p>
        </w:tc>
      </w:tr>
      <w:tr>
        <w:tc>
          <w:tcPr>
            <w:tcW w:type="dxa" w:w="1440"/>
          </w:tcPr>
          <w:p>
            <w:r>
              <w:rPr>
                <w:sz w:val="18"/>
              </w:rPr>
              <w:t>D1</w:t>
            </w:r>
          </w:p>
        </w:tc>
        <w:tc>
          <w:tcPr>
            <w:tcW w:type="dxa" w:w="1440"/>
          </w:tcPr>
          <w:p>
            <w:r>
              <w:rPr>
                <w:sz w:val="18"/>
              </w:rPr>
              <w:t>0.05</w:t>
            </w:r>
          </w:p>
        </w:tc>
        <w:tc>
          <w:tcPr>
            <w:tcW w:type="dxa" w:w="1440"/>
          </w:tcPr>
          <w:p>
            <w:r>
              <w:rPr>
                <w:sz w:val="18"/>
              </w:rPr>
              <w:t>0.287</w:t>
            </w:r>
          </w:p>
        </w:tc>
        <w:tc>
          <w:tcPr>
            <w:tcW w:type="dxa" w:w="1440"/>
          </w:tcPr>
          <w:p>
            <w:r>
              <w:rPr>
                <w:sz w:val="18"/>
              </w:rPr>
              <w:t>0.238</w:t>
            </w:r>
          </w:p>
        </w:tc>
        <w:tc>
          <w:tcPr>
            <w:tcW w:type="dxa" w:w="1440"/>
          </w:tcPr>
          <w:p>
            <w:r>
              <w:rPr>
                <w:sz w:val="18"/>
              </w:rPr>
              <w:t>15.1</w:t>
            </w:r>
          </w:p>
        </w:tc>
        <w:tc>
          <w:tcPr>
            <w:tcW w:type="dxa" w:w="1440"/>
          </w:tcPr>
          <w:p>
            <w:r>
              <w:rPr>
                <w:sz w:val="18"/>
              </w:rPr>
              <w:t>15.8</w:t>
            </w:r>
          </w:p>
        </w:tc>
      </w:tr>
      <w:tr>
        <w:tc>
          <w:tcPr>
            <w:tcW w:type="dxa" w:w="1440"/>
          </w:tcPr>
          <w:p>
            <w:r>
              <w:rPr>
                <w:sz w:val="18"/>
              </w:rPr>
              <w:t>D2</w:t>
            </w:r>
          </w:p>
        </w:tc>
        <w:tc>
          <w:tcPr>
            <w:tcW w:type="dxa" w:w="1440"/>
          </w:tcPr>
          <w:p>
            <w:r>
              <w:rPr>
                <w:sz w:val="18"/>
              </w:rPr>
              <w:t>OFF</w:t>
            </w:r>
          </w:p>
        </w:tc>
        <w:tc>
          <w:tcPr>
            <w:tcW w:type="dxa" w:w="1440"/>
          </w:tcPr>
          <w:p>
            <w:r>
              <w:rPr>
                <w:sz w:val="18"/>
              </w:rPr>
              <w:t>0.354</w:t>
            </w:r>
          </w:p>
        </w:tc>
        <w:tc>
          <w:tcPr>
            <w:tcW w:type="dxa" w:w="1440"/>
          </w:tcPr>
          <w:p>
            <w:r>
              <w:rPr>
                <w:sz w:val="18"/>
              </w:rPr>
              <w:t>0.282</w:t>
            </w:r>
          </w:p>
        </w:tc>
        <w:tc>
          <w:tcPr>
            <w:tcW w:type="dxa" w:w="1440"/>
          </w:tcPr>
          <w:p>
            <w:r>
              <w:rPr>
                <w:sz w:val="18"/>
              </w:rPr>
              <w:t>13.8</w:t>
            </w:r>
          </w:p>
        </w:tc>
        <w:tc>
          <w:tcPr>
            <w:tcW w:type="dxa" w:w="1440"/>
          </w:tcPr>
          <w:p>
            <w:r>
              <w:rPr>
                <w:sz w:val="18"/>
              </w:rPr>
              <w:t>14.4</w:t>
            </w:r>
          </w:p>
        </w:tc>
      </w:tr>
      <w:tr>
        <w:tc>
          <w:tcPr>
            <w:tcW w:type="dxa" w:w="1440"/>
          </w:tcPr>
          <w:p>
            <w:r>
              <w:rPr>
                <w:sz w:val="18"/>
              </w:rPr>
              <w:t>D2</w:t>
            </w:r>
          </w:p>
        </w:tc>
        <w:tc>
          <w:tcPr>
            <w:tcW w:type="dxa" w:w="1440"/>
          </w:tcPr>
          <w:p>
            <w:r>
              <w:rPr>
                <w:sz w:val="18"/>
              </w:rPr>
              <w:t>0.05</w:t>
            </w:r>
          </w:p>
        </w:tc>
        <w:tc>
          <w:tcPr>
            <w:tcW w:type="dxa" w:w="1440"/>
          </w:tcPr>
          <w:p>
            <w:r>
              <w:rPr>
                <w:sz w:val="18"/>
              </w:rPr>
              <w:t>0.289</w:t>
            </w:r>
          </w:p>
        </w:tc>
        <w:tc>
          <w:tcPr>
            <w:tcW w:type="dxa" w:w="1440"/>
          </w:tcPr>
          <w:p>
            <w:r>
              <w:rPr>
                <w:sz w:val="18"/>
              </w:rPr>
              <w:t>0.239</w:t>
            </w:r>
          </w:p>
        </w:tc>
        <w:tc>
          <w:tcPr>
            <w:tcW w:type="dxa" w:w="1440"/>
          </w:tcPr>
          <w:p>
            <w:r>
              <w:rPr>
                <w:sz w:val="18"/>
              </w:rPr>
              <w:t>15.1</w:t>
            </w:r>
          </w:p>
        </w:tc>
        <w:tc>
          <w:tcPr>
            <w:tcW w:type="dxa" w:w="1440"/>
          </w:tcPr>
          <w:p>
            <w:r>
              <w:rPr>
                <w:sz w:val="18"/>
              </w:rPr>
              <w:t>15.8</w:t>
            </w:r>
          </w:p>
        </w:tc>
      </w:tr>
      <w:tr>
        <w:tc>
          <w:tcPr>
            <w:tcW w:type="dxa" w:w="1440"/>
          </w:tcPr>
          <w:p>
            <w:r>
              <w:rPr>
                <w:sz w:val="18"/>
              </w:rPr>
              <w:t>E1 (10 m²)</w:t>
            </w:r>
          </w:p>
        </w:tc>
        <w:tc>
          <w:tcPr>
            <w:tcW w:type="dxa" w:w="1440"/>
          </w:tcPr>
          <w:p>
            <w:r>
              <w:rPr>
                <w:sz w:val="18"/>
              </w:rPr>
              <w:t>OFF</w:t>
            </w:r>
          </w:p>
        </w:tc>
        <w:tc>
          <w:tcPr>
            <w:tcW w:type="dxa" w:w="1440"/>
          </w:tcPr>
          <w:p>
            <w:r>
              <w:rPr>
                <w:sz w:val="18"/>
              </w:rPr>
              <w:t>0.220</w:t>
            </w:r>
          </w:p>
        </w:tc>
        <w:tc>
          <w:tcPr>
            <w:tcW w:type="dxa" w:w="1440"/>
          </w:tcPr>
          <w:p>
            <w:r>
              <w:rPr>
                <w:sz w:val="18"/>
              </w:rPr>
              <w:t>0.141</w:t>
            </w:r>
          </w:p>
        </w:tc>
        <w:tc>
          <w:tcPr>
            <w:tcW w:type="dxa" w:w="1440"/>
          </w:tcPr>
          <w:p>
            <w:r>
              <w:rPr>
                <w:sz w:val="18"/>
              </w:rPr>
              <w:t>13.8</w:t>
            </w:r>
          </w:p>
        </w:tc>
        <w:tc>
          <w:tcPr>
            <w:tcW w:type="dxa" w:w="1440"/>
          </w:tcPr>
          <w:p>
            <w:r>
              <w:rPr>
                <w:sz w:val="18"/>
              </w:rPr>
              <w:t>14.4</w:t>
            </w:r>
          </w:p>
        </w:tc>
      </w:tr>
      <w:tr>
        <w:tc>
          <w:tcPr>
            <w:tcW w:type="dxa" w:w="1440"/>
          </w:tcPr>
          <w:p>
            <w:r>
              <w:rPr>
                <w:sz w:val="18"/>
              </w:rPr>
              <w:t>E1 (10 m²)</w:t>
            </w:r>
          </w:p>
        </w:tc>
        <w:tc>
          <w:tcPr>
            <w:tcW w:type="dxa" w:w="1440"/>
          </w:tcPr>
          <w:p>
            <w:r>
              <w:rPr>
                <w:sz w:val="18"/>
              </w:rPr>
              <w:t>0.05</w:t>
            </w:r>
          </w:p>
        </w:tc>
        <w:tc>
          <w:tcPr>
            <w:tcW w:type="dxa" w:w="1440"/>
          </w:tcPr>
          <w:p>
            <w:r>
              <w:rPr>
                <w:sz w:val="18"/>
              </w:rPr>
              <w:t>0.152</w:t>
            </w:r>
          </w:p>
        </w:tc>
        <w:tc>
          <w:tcPr>
            <w:tcW w:type="dxa" w:w="1440"/>
          </w:tcPr>
          <w:p>
            <w:r>
              <w:rPr>
                <w:sz w:val="18"/>
              </w:rPr>
              <w:t>0.101</w:t>
            </w:r>
          </w:p>
        </w:tc>
        <w:tc>
          <w:tcPr>
            <w:tcW w:type="dxa" w:w="1440"/>
          </w:tcPr>
          <w:p>
            <w:r>
              <w:rPr>
                <w:sz w:val="18"/>
              </w:rPr>
              <w:t>15.1</w:t>
            </w:r>
          </w:p>
        </w:tc>
        <w:tc>
          <w:tcPr>
            <w:tcW w:type="dxa" w:w="1440"/>
          </w:tcPr>
          <w:p>
            <w:r>
              <w:rPr>
                <w:sz w:val="18"/>
              </w:rPr>
              <w:t>15.8</w:t>
            </w:r>
          </w:p>
        </w:tc>
      </w:tr>
      <w:tr>
        <w:tc>
          <w:tcPr>
            <w:tcW w:type="dxa" w:w="1440"/>
          </w:tcPr>
          <w:p>
            <w:r>
              <w:rPr>
                <w:sz w:val="18"/>
              </w:rPr>
              <w:t>E2 (10 m²)</w:t>
            </w:r>
          </w:p>
        </w:tc>
        <w:tc>
          <w:tcPr>
            <w:tcW w:type="dxa" w:w="1440"/>
          </w:tcPr>
          <w:p>
            <w:r>
              <w:rPr>
                <w:sz w:val="18"/>
              </w:rPr>
              <w:t>OFF</w:t>
            </w:r>
          </w:p>
        </w:tc>
        <w:tc>
          <w:tcPr>
            <w:tcW w:type="dxa" w:w="1440"/>
          </w:tcPr>
          <w:p>
            <w:r>
              <w:rPr>
                <w:sz w:val="18"/>
              </w:rPr>
              <w:t>0.197</w:t>
            </w:r>
          </w:p>
        </w:tc>
        <w:tc>
          <w:tcPr>
            <w:tcW w:type="dxa" w:w="1440"/>
          </w:tcPr>
          <w:p>
            <w:r>
              <w:rPr>
                <w:sz w:val="18"/>
              </w:rPr>
              <w:t>0.129</w:t>
            </w:r>
          </w:p>
        </w:tc>
        <w:tc>
          <w:tcPr>
            <w:tcW w:type="dxa" w:w="1440"/>
          </w:tcPr>
          <w:p>
            <w:r>
              <w:rPr>
                <w:sz w:val="18"/>
              </w:rPr>
              <w:t>13.8</w:t>
            </w:r>
          </w:p>
        </w:tc>
        <w:tc>
          <w:tcPr>
            <w:tcW w:type="dxa" w:w="1440"/>
          </w:tcPr>
          <w:p>
            <w:r>
              <w:rPr>
                <w:sz w:val="18"/>
              </w:rPr>
              <w:t>14.4</w:t>
            </w:r>
          </w:p>
        </w:tc>
      </w:tr>
      <w:tr>
        <w:tc>
          <w:tcPr>
            <w:tcW w:type="dxa" w:w="1440"/>
          </w:tcPr>
          <w:p>
            <w:r>
              <w:rPr>
                <w:sz w:val="18"/>
              </w:rPr>
              <w:t>E2 (10 m²)</w:t>
            </w:r>
          </w:p>
        </w:tc>
        <w:tc>
          <w:tcPr>
            <w:tcW w:type="dxa" w:w="1440"/>
          </w:tcPr>
          <w:p>
            <w:r>
              <w:rPr>
                <w:sz w:val="18"/>
              </w:rPr>
              <w:t>0.05</w:t>
            </w:r>
          </w:p>
        </w:tc>
        <w:tc>
          <w:tcPr>
            <w:tcW w:type="dxa" w:w="1440"/>
          </w:tcPr>
          <w:p>
            <w:r>
              <w:rPr>
                <w:sz w:val="18"/>
              </w:rPr>
              <w:t>0.144</w:t>
            </w:r>
          </w:p>
        </w:tc>
        <w:tc>
          <w:tcPr>
            <w:tcW w:type="dxa" w:w="1440"/>
          </w:tcPr>
          <w:p>
            <w:r>
              <w:rPr>
                <w:sz w:val="18"/>
              </w:rPr>
              <w:t>0.097</w:t>
            </w:r>
          </w:p>
        </w:tc>
        <w:tc>
          <w:tcPr>
            <w:tcW w:type="dxa" w:w="1440"/>
          </w:tcPr>
          <w:p>
            <w:r>
              <w:rPr>
                <w:sz w:val="18"/>
              </w:rPr>
              <w:t>15.1</w:t>
            </w:r>
          </w:p>
        </w:tc>
        <w:tc>
          <w:tcPr>
            <w:tcW w:type="dxa" w:w="1440"/>
          </w:tcPr>
          <w:p>
            <w:r>
              <w:rPr>
                <w:sz w:val="18"/>
              </w:rPr>
              <w:t>15.8</w:t>
            </w:r>
          </w:p>
        </w:tc>
      </w:tr>
    </w:tbl>
    <w:p>
      <w:r>
        <w:rPr>
          <w:b w:val="0"/>
          <w:i/>
          <w:sz w:val="18"/>
        </w:rPr>
        <w:t>Table 2.7: Summary of all configurations with and without VPD bypass (threshold = 0.05). SEC in kWh/kg.</w:t>
      </w:r>
    </w:p>
    <w:p>
      <w:r>
        <w:rPr>
          <w:b w:val="0"/>
          <w:i w:val="0"/>
          <w:sz w:val="22"/>
        </w:rPr>
        <w:t>Key findings from the VPD bypass optimisation:</w:t>
      </w:r>
    </w:p>
    <w:p>
      <w:pPr>
        <w:pStyle w:val="ListBullet"/>
      </w:pPr>
      <w:r>
        <w:rPr>
          <w:sz w:val="20"/>
        </w:rPr>
        <w:t>VPD bypass is universally beneficial: every configuration tested shows SEC improvement at threshold = 0.05, with 15–31% reduction depending on configuration and location.</w:t>
      </w:r>
    </w:p>
    <w:p>
      <w:pPr>
        <w:pStyle w:val="ListBullet"/>
      </w:pPr>
      <w:r>
        <w:rPr>
          <w:sz w:val="20"/>
        </w:rPr>
        <w:t>The benefit is greatest for E configs (25–31%) because the solar collector reduces the HP’s share of total energy, making the bypass’s compressor savings a larger fraction of the total.</w:t>
      </w:r>
    </w:p>
    <w:p>
      <w:pPr>
        <w:pStyle w:val="ListBullet"/>
      </w:pPr>
      <w:r>
        <w:rPr>
          <w:sz w:val="20"/>
        </w:rPr>
        <w:t>Drying time increases by only 1–2 h at threshold = 0.05, from ~14 h to ~15–16 h — well within a single daily batch cycle.</w:t>
      </w:r>
    </w:p>
    <w:p>
      <w:pPr>
        <w:pStyle w:val="ListBullet"/>
      </w:pPr>
      <w:r>
        <w:rPr>
          <w:sz w:val="20"/>
        </w:rPr>
        <w:t>The SEC–time trade-off is non-linear: doubling the threshold from 0.05 to 0.10 typically gains only 5–8% additional SEC improvement but adds 2–3 h of drying time. Tripling to 0.15 adds minimal SEC gain but extends drying by 5–7 h.</w:t>
      </w:r>
    </w:p>
    <w:p>
      <w:pPr>
        <w:pStyle w:val="ListBullet"/>
      </w:pPr>
      <w:r>
        <w:rPr>
          <w:sz w:val="20"/>
        </w:rPr>
        <w:t>At aggressive thresholds (≥0.30), all configurations fail to complete drying within 72 h, confirming that the bypass must be used judiciously.</w:t>
      </w:r>
    </w:p>
    <w:p>
      <w:pPr>
        <w:pStyle w:val="ListBullet"/>
      </w:pPr>
      <w:r>
        <w:rPr>
          <w:sz w:val="20"/>
        </w:rPr>
        <w:t>The best absolute performance is E2 at Biratnagar with VPD bypass: SEC = 0.097 kWh/kg. This represents a 13.5× reduction in specific energy from the worst-case scenario (Config A, r = 0.9, BTN, SEC = 0.753 kWh/kg with no bypass) and a 5.6× reduction from the simple open-loop baseline (Config A, r = 0, BTN, SEC = 0.543 kWh/kg).</w:t>
      </w:r>
    </w:p>
    <w:p>
      <w:r>
        <w:rPr>
          <w:b w:val="0"/>
          <w:i w:val="0"/>
          <w:sz w:val="22"/>
        </w:rPr>
        <w:t>The VPD bypass strategy is a controls-level optimisation that requires no additional hardware — only a humidity sensor at the chamber exhaust and control logic to actuate a damper. Combined with the hardware-level improvements of heat recovery (D configs) and solar integration (E configs), it enables SEC values below 0.10 kWh/kg at favourable locations, approaching the theoretical minimum for heat-pump-assisted convective drying.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