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26"/>
        </w:rPr>
        <w:t>Thermal Mass as a Building Envelope Strategy in Cold Climates</w:t>
      </w:r>
    </w:p>
    <w:p>
      <w:pPr>
        <w:spacing w:before="0" w:after="120" w:line="260" w:lineRule="exact"/>
        <w:jc w:val="both"/>
      </w:pPr>
      <w:r>
        <w:rPr>
          <w:rFonts w:ascii="Times New Roman" w:hAnsi="Times New Roman"/>
          <w:sz w:val="22"/>
        </w:rPr>
        <w:t>Adding thermal mass to the building envelope through the use of dense, high-heat-capacity materials in walls, floors, and ceilings is an established passive strategy for reducing temperature fluctuations in the indoor environment. In cold-climate countries such as Sweden, Norway, and Finland, where heating seasons are long and outdoor temperatures can fall sharply overnight, thermal mass acts primarily as a thermal buffer: it slows the rate at which interior temperatures drop during heating interruptions or night-time set-back periods, and moderates short-duration overheating that can occur when south-facing glazing admits solar gains on winter days [1, 2]. This buffering role is distinct from, though complementary to, that of insulation, which governs the total rate of envelope heat loss. Both thermal comfort and energy performance are cited as motivations in recent construction practice and research; however, evidence consistently shows that the comfort benefit is more direct and immediate, particularly in well-insulated Nordic envelopes where the marginal energy impact of added mass is smaller [3].</w:t>
      </w:r>
    </w:p>
    <w:p>
      <w:pPr>
        <w:spacing w:before="0" w:after="120" w:line="260" w:lineRule="exact"/>
        <w:jc w:val="both"/>
      </w:pPr>
      <w:r>
        <w:rPr>
          <w:rFonts w:ascii="Times New Roman" w:hAnsi="Times New Roman"/>
          <w:sz w:val="22"/>
        </w:rPr>
        <w:t>Concrete remains the most widely used high-mass building material in Nordic residential and commercial construction, with a volumetric heat capacity of approximately 2,000 kJ/m³K. Exposed concrete soffits, heavyweight internal slabs, and prefabricated concrete sandwich facade panels are routinely specified in Swedish multi-family housing. Comparative simulation studies across cold-climate cities, including Helsinki, have shown that concrete structural systems reduce peak indoor operative temperatures by 2–4°C compared to lightweight timber-frame construction during the warmest periods and sustain habitable indoor conditions substantially longer during heating system failures [4, 5]. Cross-laminated timber (CLT), increasingly common in Scandinavian construction since the early 2010s, provides a more moderate but meaningful thermal mass; research finds that concrete frames consume roughly 2–7% less annual heating and cooling energy than equivalent CLT frames, while both substantially outperform lightweight timber construction [6].</w:t>
      </w:r>
    </w:p>
    <w:p>
      <w:pPr>
        <w:spacing w:before="0" w:after="120" w:line="260" w:lineRule="exact"/>
        <w:jc w:val="both"/>
      </w:pPr>
      <w:r>
        <w:rPr>
          <w:rFonts w:ascii="Times New Roman" w:hAnsi="Times New Roman"/>
          <w:sz w:val="22"/>
        </w:rPr>
        <w:t>Phase change materials (PCMs) have attracted significant recent research interest as a means of achieving high effective heat storage capacity in relatively thin assemblies. PCMs absorb large quantities of latent heat as they transition between solid and liquid phases at a defined temperature, and can be integrated into plasterboard, concrete, or wall insulation layers. Norwegian research institution SINTEF has evaluated PCM-enhanced wall assemblies under Nordic conditions [7], and studies report heating demand reductions of approximately 20% when PCM is incorporated into interior wall layers in cold European climates [8]. An optimised configuration featuring 75 mm of PCM with a melting point of 21°C in interior walls has been shown to yield annual energy cost savings of up to 18% under spot-price electricity tariffs [9]. An additional practical benefit in cold climates is that PCM integration into concrete reduces freeze-thaw degradation of the host material, providing a structural durability advantage alongside the thermal performance benefit [8].</w:t>
      </w:r>
    </w:p>
    <w:p>
      <w:pPr>
        <w:spacing w:before="0" w:after="120" w:line="260" w:lineRule="exact"/>
        <w:jc w:val="both"/>
      </w:pPr>
      <w:r>
        <w:rPr>
          <w:rFonts w:ascii="Times New Roman" w:hAnsi="Times New Roman"/>
          <w:sz w:val="22"/>
        </w:rPr>
        <w:t>A growing application of concrete thermal mass in Swedish and Nordic construction is thermally activated building systems (TABS), in which water pipes embedded within heavyweight concrete floor and ceiling slabs allow controlled pre-loading of the mass using off-peak or renewable electricity. This strategy enables demand shifting away from peak hours, supporting the flexibility requirements of electricity grids with high proportions of variable wind power [10]. Research published in 2025 further frames thermal mass as a resilience asset: thermal mass capacity of the building envelope was identified as a critical parameter determining how many hours a building sustains habitable indoor temperatures during a cold-climate power outage, with high-mass buildings remaining within safe temperature bounds significantly longer than lightweight equivalents [5]. Taken together, the evidence positions thermal mass in cold-climate building envelopes as a material strategy serving comfort stability, energy system flexibility, and structural resilience, with quantified benefits that support its continued and expanding specification in Nordic construction and renovation.</w:t>
      </w:r>
    </w:p>
    <w:p>
      <w:pPr>
        <w:spacing w:before="120" w:after="60"/>
      </w:pPr>
      <w:r>
        <w:rPr>
          <w:rFonts w:ascii="Times New Roman" w:hAnsi="Times New Roman"/>
          <w:b/>
          <w:sz w:val="22"/>
        </w:rPr>
        <w:t>References</w:t>
      </w:r>
    </w:p>
    <w:p>
      <w:pPr>
        <w:spacing w:before="0" w:after="40" w:line="220" w:lineRule="exact"/>
        <w:ind w:left="283" w:hanging="283"/>
        <w:jc w:val="both"/>
      </w:pPr>
      <w:r>
        <w:rPr>
          <w:rFonts w:ascii="Times New Roman" w:hAnsi="Times New Roman"/>
          <w:sz w:val="18"/>
        </w:rPr>
        <w:t>[1] Australian Government Department of Industry, Science, Energy and Resources. Thermal Mass. Your Home Technical Manual. Available: yourhome.gov.au/passive-design/thermal-mass</w:t>
      </w:r>
    </w:p>
    <w:p>
      <w:pPr>
        <w:spacing w:before="0" w:after="40" w:line="220" w:lineRule="exact"/>
        <w:ind w:left="283" w:hanging="283"/>
        <w:jc w:val="both"/>
      </w:pPr>
      <w:r>
        <w:rPr>
          <w:rFonts w:ascii="Times New Roman" w:hAnsi="Times New Roman"/>
          <w:sz w:val="18"/>
        </w:rPr>
        <w:t>[2] Ruud S., Lundin L. Experiences from Nine Passive Houses in Sweden: Indoor Thermal Environment and Energy Use. SP Technical Research Institute of Sweden, 2013. ResearchGate: doi:10.13140/RG.2.1.3848.8484</w:t>
      </w:r>
    </w:p>
    <w:p>
      <w:pPr>
        <w:spacing w:before="0" w:after="40" w:line="220" w:lineRule="exact"/>
        <w:ind w:left="283" w:hanging="283"/>
        <w:jc w:val="both"/>
      </w:pPr>
      <w:r>
        <w:rPr>
          <w:rFonts w:ascii="Times New Roman" w:hAnsi="Times New Roman"/>
          <w:sz w:val="18"/>
        </w:rPr>
        <w:t>[3] Building America Solution Center, PNNL. High-Thermal-Mass Construction. Available: basc.pnnl.gov/resource-guides/high-thermal-mass-construction</w:t>
      </w:r>
    </w:p>
    <w:p>
      <w:pPr>
        <w:spacing w:before="0" w:after="40" w:line="220" w:lineRule="exact"/>
        <w:ind w:left="283" w:hanging="283"/>
        <w:jc w:val="both"/>
      </w:pPr>
      <w:r>
        <w:rPr>
          <w:rFonts w:ascii="Times New Roman" w:hAnsi="Times New Roman"/>
          <w:sz w:val="18"/>
        </w:rPr>
        <w:t>[4] Libralato M., De Angelis A., Saro O. Improving Thermal Response of Lightweight Timber Building Envelopes During Cooling Season in Three European Locations. Journal of Cleaner Production, 2018. doi:10.1016/j.jclepro.2017.08.198</w:t>
      </w:r>
    </w:p>
    <w:p>
      <w:pPr>
        <w:spacing w:before="0" w:after="40" w:line="220" w:lineRule="exact"/>
        <w:ind w:left="283" w:hanging="283"/>
        <w:jc w:val="both"/>
      </w:pPr>
      <w:r>
        <w:rPr>
          <w:rFonts w:ascii="Times New Roman" w:hAnsi="Times New Roman"/>
          <w:sz w:val="18"/>
        </w:rPr>
        <w:t>[5] Hamdy M., Hasan A. Enhancing Building Resilience: Maintaining Energy Efficiency and Thermal Comfort During Power Outages in Cold Climates. Building Simulation, Springer, 2025. doi:10.1007/s12273-025-1371-2</w:t>
      </w:r>
    </w:p>
    <w:p>
      <w:pPr>
        <w:spacing w:before="0" w:after="40" w:line="220" w:lineRule="exact"/>
        <w:ind w:left="283" w:hanging="283"/>
        <w:jc w:val="both"/>
      </w:pPr>
      <w:r>
        <w:rPr>
          <w:rFonts w:ascii="Times New Roman" w:hAnsi="Times New Roman"/>
          <w:sz w:val="18"/>
        </w:rPr>
        <w:t>[6] Oak Ridge National Laboratory. Impact of Mass Wood Walls on Building Energy Use, Peak Load, and Carbon. ORNL Report, 2022. Available: info.ornl.gov/sites/publications/Files/Pub174562.pdf</w:t>
      </w:r>
    </w:p>
    <w:p>
      <w:pPr>
        <w:spacing w:before="0" w:after="40" w:line="220" w:lineRule="exact"/>
        <w:ind w:left="283" w:hanging="283"/>
        <w:jc w:val="both"/>
      </w:pPr>
      <w:r>
        <w:rPr>
          <w:rFonts w:ascii="Times New Roman" w:hAnsi="Times New Roman"/>
          <w:sz w:val="18"/>
        </w:rPr>
        <w:t>[7] SINTEF Blog. What are Phase Change Materials? (Will They Be the Next Big Thing in Norway?). Available: blog.sintef.com/energy/phase-change-materials-pcm/</w:t>
      </w:r>
    </w:p>
    <w:p>
      <w:pPr>
        <w:spacing w:before="0" w:after="40" w:line="220" w:lineRule="exact"/>
        <w:ind w:left="283" w:hanging="283"/>
        <w:jc w:val="both"/>
      </w:pPr>
      <w:r>
        <w:rPr>
          <w:rFonts w:ascii="Times New Roman" w:hAnsi="Times New Roman"/>
          <w:sz w:val="18"/>
        </w:rPr>
        <w:t>[8] Jayalath A. et al. Phase Change Material Integration in Concrete for Thermal Energy Storage: Techniques and Applications in Sustainable Building. Sustainable Energy Research, Springer, 2024. doi:10.1186/s40807-024-00138-8</w:t>
      </w:r>
    </w:p>
    <w:p>
      <w:pPr>
        <w:spacing w:before="0" w:after="40" w:line="220" w:lineRule="exact"/>
        <w:ind w:left="283" w:hanging="283"/>
        <w:jc w:val="both"/>
      </w:pPr>
      <w:r>
        <w:rPr>
          <w:rFonts w:ascii="Times New Roman" w:hAnsi="Times New Roman"/>
          <w:sz w:val="18"/>
        </w:rPr>
        <w:t>[9] Kishore R.A. et al. PCM-Incorporated Building Envelope for Improving Cost Savings in Residential Buildings Under Cold Climates. Lecture Notes in Civil Engineering, Springer, 2024. doi:10.1007/978-981-97-8305-2_53</w:t>
      </w:r>
    </w:p>
    <w:p>
      <w:pPr>
        <w:spacing w:before="0" w:after="40" w:line="220" w:lineRule="exact"/>
        <w:ind w:left="283" w:hanging="283"/>
        <w:jc w:val="both"/>
      </w:pPr>
      <w:r>
        <w:rPr>
          <w:rFonts w:ascii="Times New Roman" w:hAnsi="Times New Roman"/>
          <w:sz w:val="18"/>
        </w:rPr>
        <w:t>[10] Lund H. et al. Energy System and Cost Impacts of Heat Supply to Low-Energy Buildings in Sweden. Energy, Elsevier, 2023. doi:10.1016/j.energy.2023.126608</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