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26"/>
        </w:rPr>
        <w:t>Retrofitting Existing Buildings with Thermal Mass and Insulation in Cold Climates</w:t>
      </w:r>
    </w:p>
    <w:p>
      <w:pPr>
        <w:spacing w:before="0" w:after="100" w:line="250" w:lineRule="exact"/>
        <w:jc w:val="both"/>
      </w:pPr>
      <w:r>
        <w:rPr>
          <w:rFonts w:ascii="Times New Roman" w:hAnsi="Times New Roman"/>
          <w:sz w:val="21"/>
        </w:rPr>
        <w:t>In cold-climate countries such as Sweden and Norway, the most significant near-term opportunity for reducing building energy use lies in the renovation of the existing stock rather than in new construction, which already meets stringent standards. A large share of Nordic housing was built between the 1950s and 1980s using lightweight or prefabricated techniques with low inherent thermal mass and poor envelope insulation. The Swedish Million Programme (miljonprogrammet) — approximately one million dwellings built between 1965 and 1975 as prefabricated concrete panel blocks — is the principal renovation target. Without sufficient thermal storage, these buildings lose heat rapidly during interruptions, overheat under solar gain, and offer little flexibility for demand shifting [1, 3, 13].</w:t>
      </w:r>
    </w:p>
    <w:p>
      <w:pPr>
        <w:spacing w:before="0" w:after="100" w:line="250" w:lineRule="exact"/>
        <w:jc w:val="both"/>
      </w:pPr>
      <w:r>
        <w:rPr>
          <w:rFonts w:ascii="Times New Roman" w:hAnsi="Times New Roman"/>
          <w:sz w:val="21"/>
        </w:rPr>
        <w:t>The most practically accessible method of adding thermal mass to an existing lightweight building is through phase change materials (PCMs), which can be incorporated into thin plasterboard or wallboard panels fixed directly to interior surfaces without structural alteration [4]. For cold climates, an optimal PCM melting point of 20–22°C is recommended, aligned with the indoor comfort set point [5]. Studies report reductions in indoor temperature fluctuations of up to 46%, heat transfer reductions of up to 47.6%, and heating demand reductions of 5–20% depending on thickness and placement [6, 7, 8]. Where existing concrete slabs are present, thermally activated building systems (TABS) offer a complementary pathway, embedding pipes in the slab to turn passive mass into a controllable thermal battery pre-charged with off-peak energy; TABS has been shown to reduce whole-life building energy costs by 16–27% [10, 11, 12].</w:t>
      </w:r>
    </w:p>
    <w:p>
      <w:pPr>
        <w:spacing w:before="120" w:after="40"/>
      </w:pPr>
      <w:r>
        <w:rPr>
          <w:rFonts w:ascii="Times New Roman" w:hAnsi="Times New Roman"/>
          <w:b/>
          <w:sz w:val="21"/>
        </w:rPr>
        <w:t>3.4  Interior Versus Exterior Insulation of Existing Walls</w:t>
      </w:r>
    </w:p>
    <w:p>
      <w:pPr>
        <w:spacing w:before="0" w:after="100" w:line="250" w:lineRule="exact"/>
        <w:jc w:val="both"/>
      </w:pPr>
      <w:r>
        <w:rPr>
          <w:rFonts w:ascii="Times New Roman" w:hAnsi="Times New Roman"/>
          <w:sz w:val="21"/>
        </w:rPr>
        <w:t>Deep insulation retrofits of the Million Programme stock have demonstrated purchased energy reductions of approximately 52% through new prefabricated insulated facade panels, triple-glazed windows, and heat-recovery ventilation, at a cost of around 200 €/m² of treated floor area [14]. More modest measures, such as attic insulation with cellulose fibre, have halved heating demand alone [13]. External thermal insulation composite systems (ETICS) are the preferred approach: they keep the structural wall warm, reduce condensation risk, and preserve the thermal mass of the original wall on the interior side. Interior insulation is used where facade appearance must be preserved, but it drives the outer wall to lower temperatures, increasing risk of interstitial condensation [16]. A 2024 study of three Swedish heritage buildings confirmed that capillary-active materials — calcium silicate board and wood fibre board — substantially reduce this hygrothermal failure risk compared to vapour-tight solutions [17, 18].</w:t>
      </w:r>
    </w:p>
    <w:p>
      <w:pPr>
        <w:spacing w:before="120" w:after="40"/>
      </w:pPr>
      <w:r>
        <w:rPr>
          <w:rFonts w:ascii="Times New Roman" w:hAnsi="Times New Roman"/>
          <w:b/>
          <w:sz w:val="21"/>
        </w:rPr>
        <w:t>3.5  Prefabricated Facade Systems</w:t>
      </w:r>
    </w:p>
    <w:p>
      <w:pPr>
        <w:spacing w:before="0" w:after="160" w:line="250" w:lineRule="exact"/>
        <w:jc w:val="both"/>
      </w:pPr>
      <w:r>
        <w:rPr>
          <w:rFonts w:ascii="Times New Roman" w:hAnsi="Times New Roman"/>
          <w:sz w:val="21"/>
        </w:rPr>
        <w:t>Factory-manufactured facade modules integrating insulation, cladding, windows, and ventilation terminals into a single prefabricated unit represent a growing approach to large-scale cold-climate renovation. Craned into place in one operation, they minimise on-site time and occupant disruption. EU-funded demonstration projects on Swedish Million Programme housing have delivered measured energy savings of up to 40%, bringing energy use to levels comparable with current new-build standards [15]. The approach is now recognised in Swedish renovation policy and continues to develop towards lower cost and greater integration with building energy management systems.</w:t>
      </w:r>
    </w:p>
    <w:p>
      <w:pPr>
        <w:spacing w:before="80" w:after="40"/>
      </w:pPr>
      <w:r>
        <w:rPr>
          <w:rFonts w:ascii="Times New Roman" w:hAnsi="Times New Roman"/>
          <w:b/>
          <w:sz w:val="20"/>
        </w:rPr>
        <w:t>References</w:t>
      </w:r>
    </w:p>
    <w:p>
      <w:pPr>
        <w:spacing w:before="0" w:after="30" w:line="200" w:lineRule="exact"/>
        <w:ind w:left="255" w:hanging="255"/>
        <w:jc w:val="both"/>
      </w:pPr>
      <w:r>
        <w:rPr>
          <w:rFonts w:ascii="Times New Roman" w:hAnsi="Times New Roman"/>
          <w:sz w:val="17"/>
        </w:rPr>
        <w:t>[1] Hamdy M., Hasan A. Enhancing Building Resilience During Power Outages in Cold Climates. Building Simulation, Springer, 2025. doi:10.1007/s12273-025-1371-2</w:t>
      </w:r>
    </w:p>
    <w:p>
      <w:pPr>
        <w:spacing w:before="0" w:after="30" w:line="200" w:lineRule="exact"/>
        <w:ind w:left="255" w:hanging="255"/>
        <w:jc w:val="both"/>
      </w:pPr>
      <w:r>
        <w:rPr>
          <w:rFonts w:ascii="Times New Roman" w:hAnsi="Times New Roman"/>
          <w:sz w:val="17"/>
        </w:rPr>
        <w:t>[2] Overheating Risk and Energy Demand of Nordic Old and New Apartment Buildings. Applied Sciences, MDPI, 2021. doi:10.3390/app11093972</w:t>
      </w:r>
    </w:p>
    <w:p>
      <w:pPr>
        <w:spacing w:before="0" w:after="30" w:line="200" w:lineRule="exact"/>
        <w:ind w:left="255" w:hanging="255"/>
        <w:jc w:val="both"/>
      </w:pPr>
      <w:r>
        <w:rPr>
          <w:rFonts w:ascii="Times New Roman" w:hAnsi="Times New Roman"/>
          <w:sz w:val="17"/>
        </w:rPr>
        <w:t>[3] Retrofitting Buildings into Thermal Batteries for Demand-Side Flexibility and Thermal Safety during Power Outages in Winter. Energies, MDPI, 2022. doi:10.3390/en15124405</w:t>
      </w:r>
    </w:p>
    <w:p>
      <w:pPr>
        <w:spacing w:before="0" w:after="30" w:line="200" w:lineRule="exact"/>
        <w:ind w:left="255" w:hanging="255"/>
        <w:jc w:val="both"/>
      </w:pPr>
      <w:r>
        <w:rPr>
          <w:rFonts w:ascii="Times New Roman" w:hAnsi="Times New Roman"/>
          <w:sz w:val="17"/>
        </w:rPr>
        <w:t>[4] Soares N. et al. Retrofitting Buildings with PCM: Effects of Location and Climatic Condition. Building and Environment, Elsevier, 2023. doi:10.1016/j.buildenv.2023.110221</w:t>
      </w:r>
    </w:p>
    <w:p>
      <w:pPr>
        <w:spacing w:before="0" w:after="30" w:line="200" w:lineRule="exact"/>
        <w:ind w:left="255" w:hanging="255"/>
        <w:jc w:val="both"/>
      </w:pPr>
      <w:r>
        <w:rPr>
          <w:rFonts w:ascii="Times New Roman" w:hAnsi="Times New Roman"/>
          <w:sz w:val="17"/>
        </w:rPr>
        <w:t>[5] SINTEF Blog. What are Phase Change Materials? blog.sintef.com/energy/phase-change-materials-pcm/</w:t>
      </w:r>
    </w:p>
    <w:p>
      <w:pPr>
        <w:spacing w:before="0" w:after="30" w:line="200" w:lineRule="exact"/>
        <w:ind w:left="255" w:hanging="255"/>
        <w:jc w:val="both"/>
      </w:pPr>
      <w:r>
        <w:rPr>
          <w:rFonts w:ascii="Times New Roman" w:hAnsi="Times New Roman"/>
          <w:sz w:val="17"/>
        </w:rPr>
        <w:t>[6] Enhancing Building Thermal Performance: A Review of PCM Integration. Energies, MDPI, 2025. doi:10.3390/en18123200</w:t>
      </w:r>
    </w:p>
    <w:p>
      <w:pPr>
        <w:spacing w:before="0" w:after="30" w:line="200" w:lineRule="exact"/>
        <w:ind w:left="255" w:hanging="255"/>
        <w:jc w:val="both"/>
      </w:pPr>
      <w:r>
        <w:rPr>
          <w:rFonts w:ascii="Times New Roman" w:hAnsi="Times New Roman"/>
          <w:sz w:val="17"/>
        </w:rPr>
        <w:t>[7] Jayalath A. et al. PCM Integration in Concrete for Thermal Energy Storage. Sustainable Energy Research, Springer, 2024. doi:10.1186/s40807-024-00138-8</w:t>
      </w:r>
    </w:p>
    <w:p>
      <w:pPr>
        <w:spacing w:before="0" w:after="30" w:line="200" w:lineRule="exact"/>
        <w:ind w:left="255" w:hanging="255"/>
        <w:jc w:val="both"/>
      </w:pPr>
      <w:r>
        <w:rPr>
          <w:rFonts w:ascii="Times New Roman" w:hAnsi="Times New Roman"/>
          <w:sz w:val="17"/>
        </w:rPr>
        <w:t>[8] Kishore R.A. et al. PCM-Incorporated Building Envelope Under Cold Climates. Springer LNCE, 2024. doi:10.1007/978-981-97-8305-2_53</w:t>
      </w:r>
    </w:p>
    <w:p>
      <w:pPr>
        <w:spacing w:before="0" w:after="30" w:line="200" w:lineRule="exact"/>
        <w:ind w:left="255" w:hanging="255"/>
        <w:jc w:val="both"/>
      </w:pPr>
      <w:r>
        <w:rPr>
          <w:rFonts w:ascii="Times New Roman" w:hAnsi="Times New Roman"/>
          <w:sz w:val="17"/>
        </w:rPr>
        <w:t>[9] California Energy Commission. PCM-Enhanced Insulation for Residential Wall Retrofits. CEC, 2024. energy.ca.gov/publications/2024</w:t>
      </w:r>
    </w:p>
    <w:p>
      <w:pPr>
        <w:spacing w:before="0" w:after="30" w:line="200" w:lineRule="exact"/>
        <w:ind w:left="255" w:hanging="255"/>
        <w:jc w:val="both"/>
      </w:pPr>
      <w:r>
        <w:rPr>
          <w:rFonts w:ascii="Times New Roman" w:hAnsi="Times New Roman"/>
          <w:sz w:val="17"/>
        </w:rPr>
        <w:t>[10] REHVA Journal. Operation and Control of TABS. rehva.eu/rehva-journal/chapter/operation-and-control-of-thermally-activated-building-systems-tabs</w:t>
      </w:r>
    </w:p>
    <w:p>
      <w:pPr>
        <w:spacing w:before="0" w:after="30" w:line="200" w:lineRule="exact"/>
        <w:ind w:left="255" w:hanging="255"/>
        <w:jc w:val="both"/>
      </w:pPr>
      <w:r>
        <w:rPr>
          <w:rFonts w:ascii="Times New Roman" w:hAnsi="Times New Roman"/>
          <w:sz w:val="17"/>
        </w:rPr>
        <w:t>[11] Romaní J. et al. A Review of TABS as an Alternative for Improving Indoor Environment. Energies, MDPI, 2022. doi:10.3390/en15176179</w:t>
      </w:r>
    </w:p>
    <w:p>
      <w:pPr>
        <w:spacing w:before="0" w:after="30" w:line="200" w:lineRule="exact"/>
        <w:ind w:left="255" w:hanging="255"/>
        <w:jc w:val="both"/>
      </w:pPr>
      <w:r>
        <w:rPr>
          <w:rFonts w:ascii="Times New Roman" w:hAnsi="Times New Roman"/>
          <w:sz w:val="17"/>
        </w:rPr>
        <w:t>[12] Kensby J. et al. Energy Flexibility Using Thermal Mass for Swedish Single-Family Houses. E3S Web of Conf., 2024. doi:10.1051/e3sconf/202446504003</w:t>
      </w:r>
    </w:p>
    <w:p>
      <w:pPr>
        <w:spacing w:before="0" w:after="30" w:line="200" w:lineRule="exact"/>
        <w:ind w:left="255" w:hanging="255"/>
        <w:jc w:val="both"/>
      </w:pPr>
      <w:r>
        <w:rPr>
          <w:rFonts w:ascii="Times New Roman" w:hAnsi="Times New Roman"/>
          <w:sz w:val="17"/>
        </w:rPr>
        <w:t>[13] Högberg L. et al. Incentives for Energy Efficiency When Renovating the Swedish Million Homes Programme. Sustainability, MDPI, 2009. doi:10.3390/su1041349</w:t>
      </w:r>
    </w:p>
    <w:p>
      <w:pPr>
        <w:spacing w:before="0" w:after="30" w:line="200" w:lineRule="exact"/>
        <w:ind w:left="255" w:hanging="255"/>
        <w:jc w:val="both"/>
      </w:pPr>
      <w:r>
        <w:rPr>
          <w:rFonts w:ascii="Times New Roman" w:hAnsi="Times New Roman"/>
          <w:sz w:val="17"/>
        </w:rPr>
        <w:t>[14] Passipedia. Step-by-Step Deep Retrofit on a Million Program House. passipedia.org/planning/refurbishment_with_passive_house_components/</w:t>
      </w:r>
    </w:p>
    <w:p>
      <w:pPr>
        <w:spacing w:before="0" w:after="30" w:line="200" w:lineRule="exact"/>
        <w:ind w:left="255" w:hanging="255"/>
        <w:jc w:val="both"/>
      </w:pPr>
      <w:r>
        <w:rPr>
          <w:rFonts w:ascii="Times New Roman" w:hAnsi="Times New Roman"/>
          <w:sz w:val="17"/>
        </w:rPr>
        <w:t>[15] IVL Swedish Environmental Research Institute. The Million Programme is Being Updated. Press release, 2019. ivl.se/english/ivl/press/press-releases/2019-02-26</w:t>
      </w:r>
    </w:p>
    <w:p>
      <w:pPr>
        <w:spacing w:before="0" w:after="30" w:line="200" w:lineRule="exact"/>
        <w:ind w:left="255" w:hanging="255"/>
        <w:jc w:val="both"/>
      </w:pPr>
      <w:r>
        <w:rPr>
          <w:rFonts w:ascii="Times New Roman" w:hAnsi="Times New Roman"/>
          <w:sz w:val="17"/>
        </w:rPr>
        <w:t>[16] Lstiburek J. BSD-163: Controlling Cold-Weather Condensation Using Insulation. Building Science Corp. buildingscience.com/documents/digests/bsd-controlling-cold-weather-condensation-using-insulation</w:t>
      </w:r>
    </w:p>
    <w:p>
      <w:pPr>
        <w:spacing w:before="0" w:after="30" w:line="200" w:lineRule="exact"/>
        <w:ind w:left="255" w:hanging="255"/>
        <w:jc w:val="both"/>
      </w:pPr>
      <w:r>
        <w:rPr>
          <w:rFonts w:ascii="Times New Roman" w:hAnsi="Times New Roman"/>
          <w:sz w:val="17"/>
        </w:rPr>
        <w:t>[17] Nusser B., Teibinger M. Assessment of Interior Insulation on Exterior Walls in Three Swedish Buildings. Science and Technology for the Built Environment, 2024. doi:10.1080/23744731.2024.2366135</w:t>
      </w:r>
    </w:p>
    <w:p>
      <w:pPr>
        <w:spacing w:before="0" w:after="30" w:line="200" w:lineRule="exact"/>
        <w:ind w:left="255" w:hanging="255"/>
        <w:jc w:val="both"/>
      </w:pPr>
      <w:r>
        <w:rPr>
          <w:rFonts w:ascii="Times New Roman" w:hAnsi="Times New Roman"/>
          <w:sz w:val="17"/>
        </w:rPr>
        <w:t>[18] Gomes A.P. et al. Dataset of Criteria on Thermal Insulation Solutions in Building Facades in Norway, Portugal and Italy. Data in Brief, PMC, 2023. pmc.ncbi.nlm.nih.gov/articles/PMC10558703/</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