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58"/>
        </w:rPr>
      </w:pPr>
      <w:r>
        <w:rPr>
          <w:rFonts w:ascii="Times New Roman"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980564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560309" cy="1980564"/>
                          <a:chExt cx="7560309" cy="1980564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0309" cy="19805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980564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9999"/>
                                </a:lnTo>
                                <a:lnTo>
                                  <a:pt x="7560000" y="1979999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87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7560309" cy="19805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76"/>
                                <w:rPr>
                                  <w:sz w:val="6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20" w:right="0" w:firstLine="0"/>
                                <w:jc w:val="left"/>
                                <w:rPr>
                                  <w:rFonts w:ascii="Arial"/>
                                  <w:b/>
                                  <w:sz w:val="6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62"/>
                                </w:rPr>
                                <w:t>CarbonSynq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62"/>
                                </w:rPr>
                                <w:t>Earth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29pt;width:595.3pt;height:155.950pt;mso-position-horizontal-relative:page;mso-position-vertical-relative:page;z-index:15729152" id="docshapegroup2" coordorigin="0,0" coordsize="11906,3119">
                <v:rect style="position:absolute;left:0;top:0;width:11906;height:3119" id="docshape3" filled="true" fillcolor="#168749" stroked="false">
                  <v:fill type="solid"/>
                </v:rect>
                <v:shape style="position:absolute;left:0;top:0;width:11906;height:3119" type="#_x0000_t202" id="docshape4" filled="false" stroked="false">
                  <v:textbox inset="0,0,0,0">
                    <w:txbxContent>
                      <w:p>
                        <w:pPr>
                          <w:spacing w:line="240" w:lineRule="auto" w:before="576"/>
                          <w:rPr>
                            <w:sz w:val="62"/>
                          </w:rPr>
                        </w:pPr>
                      </w:p>
                      <w:p>
                        <w:pPr>
                          <w:spacing w:before="0"/>
                          <w:ind w:left="1020" w:right="0" w:firstLine="0"/>
                          <w:jc w:val="left"/>
                          <w:rPr>
                            <w:rFonts w:ascii="Arial"/>
                            <w:b/>
                            <w:sz w:val="6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62"/>
                          </w:rPr>
                          <w:t>CarbonSynq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62"/>
                          </w:rPr>
                          <w:t>Earth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58"/>
        </w:rPr>
      </w:pPr>
    </w:p>
    <w:p>
      <w:pPr>
        <w:pStyle w:val="BodyText"/>
        <w:rPr>
          <w:rFonts w:ascii="Times New Roman"/>
          <w:sz w:val="58"/>
        </w:rPr>
      </w:pPr>
    </w:p>
    <w:p>
      <w:pPr>
        <w:pStyle w:val="BodyText"/>
        <w:rPr>
          <w:rFonts w:ascii="Times New Roman"/>
          <w:sz w:val="58"/>
        </w:rPr>
      </w:pPr>
    </w:p>
    <w:p>
      <w:pPr>
        <w:pStyle w:val="BodyText"/>
        <w:rPr>
          <w:rFonts w:ascii="Times New Roman"/>
          <w:sz w:val="58"/>
        </w:rPr>
      </w:pPr>
    </w:p>
    <w:p>
      <w:pPr>
        <w:pStyle w:val="BodyText"/>
        <w:rPr>
          <w:rFonts w:ascii="Times New Roman"/>
          <w:sz w:val="58"/>
        </w:rPr>
      </w:pPr>
    </w:p>
    <w:p>
      <w:pPr>
        <w:pStyle w:val="BodyText"/>
        <w:rPr>
          <w:rFonts w:ascii="Times New Roman"/>
          <w:sz w:val="58"/>
        </w:rPr>
      </w:pPr>
    </w:p>
    <w:p>
      <w:pPr>
        <w:pStyle w:val="BodyText"/>
        <w:rPr>
          <w:rFonts w:ascii="Times New Roman"/>
          <w:sz w:val="58"/>
        </w:rPr>
      </w:pPr>
    </w:p>
    <w:p>
      <w:pPr>
        <w:pStyle w:val="BodyText"/>
        <w:spacing w:before="485"/>
        <w:rPr>
          <w:rFonts w:ascii="Times New Roman"/>
          <w:sz w:val="58"/>
        </w:rPr>
      </w:pPr>
    </w:p>
    <w:p>
      <w:pPr>
        <w:pStyle w:val="Title"/>
        <w:spacing w:line="244" w:lineRule="auto"/>
      </w:pPr>
      <w:r>
        <w:rPr>
          <w:color w:val="151F34"/>
        </w:rPr>
        <w:t>Australia</w:t>
      </w:r>
      <w:r>
        <w:rPr>
          <w:color w:val="151F34"/>
          <w:spacing w:val="-12"/>
        </w:rPr>
        <w:t> </w:t>
      </w:r>
      <w:r>
        <w:rPr>
          <w:color w:val="151F34"/>
        </w:rPr>
        <w:t>Climate</w:t>
      </w:r>
      <w:r>
        <w:rPr>
          <w:color w:val="151F34"/>
          <w:spacing w:val="-12"/>
        </w:rPr>
        <w:t> </w:t>
      </w:r>
      <w:r>
        <w:rPr>
          <w:color w:val="151F34"/>
        </w:rPr>
        <w:t>and</w:t>
      </w:r>
      <w:r>
        <w:rPr>
          <w:color w:val="151F34"/>
          <w:spacing w:val="-12"/>
        </w:rPr>
        <w:t> </w:t>
      </w:r>
      <w:r>
        <w:rPr>
          <w:color w:val="151F34"/>
        </w:rPr>
        <w:t>Energy Compliance Report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46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2520000</wp:posOffset>
                </wp:positionH>
                <wp:positionV relativeFrom="paragraph">
                  <wp:posOffset>190947</wp:posOffset>
                </wp:positionV>
                <wp:extent cx="2520315" cy="793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520315" cy="7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0315" h="79375">
                              <a:moveTo>
                                <a:pt x="2520000" y="0"/>
                              </a:moveTo>
                              <a:lnTo>
                                <a:pt x="0" y="0"/>
                              </a:lnTo>
                              <a:lnTo>
                                <a:pt x="0" y="79199"/>
                              </a:lnTo>
                              <a:lnTo>
                                <a:pt x="2520000" y="79199"/>
                              </a:lnTo>
                              <a:lnTo>
                                <a:pt x="252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87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8.425201pt;margin-top:15.035222pt;width:198.4252pt;height:6.23622pt;mso-position-horizontal-relative:page;mso-position-vertical-relative:paragraph;z-index:-15728640;mso-wrap-distance-left:0;mso-wrap-distance-right:0" id="docshape5" filled="true" fillcolor="#16874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51"/>
        <w:rPr>
          <w:rFonts w:ascii="Arial"/>
          <w:b/>
        </w:rPr>
      </w:pPr>
    </w:p>
    <w:p>
      <w:pPr>
        <w:pStyle w:val="BodyText"/>
        <w:ind w:left="1140"/>
      </w:pPr>
      <w:r>
        <w:rPr>
          <w:color w:val="697285"/>
          <w:spacing w:val="-2"/>
        </w:rPr>
        <w:t>Prepared</w:t>
      </w:r>
      <w:r>
        <w:rPr>
          <w:color w:val="697285"/>
          <w:spacing w:val="1"/>
        </w:rPr>
        <w:t> </w:t>
      </w:r>
      <w:r>
        <w:rPr>
          <w:color w:val="697285"/>
          <w:spacing w:val="-4"/>
        </w:rPr>
        <w:t>for:</w:t>
      </w:r>
    </w:p>
    <w:p>
      <w:pPr>
        <w:pStyle w:val="Heading3"/>
        <w:spacing w:before="33"/>
        <w:ind w:right="0"/>
      </w:pPr>
      <w:r>
        <w:rPr>
          <w:color w:val="151F34"/>
        </w:rPr>
        <w:t>CarbonSynq</w:t>
      </w:r>
      <w:r>
        <w:rPr>
          <w:color w:val="151F34"/>
          <w:spacing w:val="15"/>
        </w:rPr>
        <w:t> </w:t>
      </w:r>
      <w:r>
        <w:rPr>
          <w:color w:val="151F34"/>
        </w:rPr>
        <w:t>Earth</w:t>
      </w:r>
      <w:r>
        <w:rPr>
          <w:color w:val="151F34"/>
          <w:spacing w:val="16"/>
        </w:rPr>
        <w:t> </w:t>
      </w:r>
      <w:r>
        <w:rPr>
          <w:color w:val="151F34"/>
        </w:rPr>
        <w:t>Australia</w:t>
      </w:r>
      <w:r>
        <w:rPr>
          <w:color w:val="151F34"/>
          <w:spacing w:val="15"/>
        </w:rPr>
        <w:t> </w:t>
      </w:r>
      <w:r>
        <w:rPr>
          <w:color w:val="151F34"/>
        </w:rPr>
        <w:t>Demo</w:t>
      </w:r>
      <w:r>
        <w:rPr>
          <w:color w:val="151F34"/>
          <w:spacing w:val="16"/>
        </w:rPr>
        <w:t> </w:t>
      </w:r>
      <w:r>
        <w:rPr>
          <w:color w:val="151F34"/>
          <w:spacing w:val="-2"/>
        </w:rPr>
        <w:t>Client</w:t>
      </w:r>
    </w:p>
    <w:p>
      <w:pPr>
        <w:pStyle w:val="BodyText"/>
        <w:spacing w:before="172"/>
        <w:ind w:left="1140"/>
      </w:pPr>
      <w:r>
        <w:rPr>
          <w:color w:val="697285"/>
          <w:spacing w:val="-2"/>
        </w:rPr>
        <w:t>Reporting</w:t>
      </w:r>
      <w:r>
        <w:rPr>
          <w:color w:val="697285"/>
          <w:spacing w:val="2"/>
        </w:rPr>
        <w:t> </w:t>
      </w:r>
      <w:r>
        <w:rPr>
          <w:color w:val="697285"/>
          <w:spacing w:val="-2"/>
        </w:rPr>
        <w:t>Method:</w:t>
      </w:r>
    </w:p>
    <w:p>
      <w:pPr>
        <w:pStyle w:val="Heading3"/>
        <w:spacing w:before="32"/>
        <w:ind w:right="0"/>
      </w:pPr>
      <w:r>
        <w:rPr>
          <w:color w:val="151F34"/>
        </w:rPr>
        <w:t>AASB</w:t>
      </w:r>
      <w:r>
        <w:rPr>
          <w:color w:val="151F34"/>
          <w:spacing w:val="11"/>
        </w:rPr>
        <w:t> </w:t>
      </w:r>
      <w:r>
        <w:rPr>
          <w:color w:val="151F34"/>
        </w:rPr>
        <w:t>S2</w:t>
      </w:r>
      <w:r>
        <w:rPr>
          <w:color w:val="151F34"/>
          <w:spacing w:val="12"/>
        </w:rPr>
        <w:t> </w:t>
      </w:r>
      <w:r>
        <w:rPr>
          <w:color w:val="151F34"/>
        </w:rPr>
        <w:t>/</w:t>
      </w:r>
      <w:r>
        <w:rPr>
          <w:color w:val="151F34"/>
          <w:spacing w:val="11"/>
        </w:rPr>
        <w:t> </w:t>
      </w:r>
      <w:r>
        <w:rPr>
          <w:color w:val="151F34"/>
        </w:rPr>
        <w:t>AASB</w:t>
      </w:r>
      <w:r>
        <w:rPr>
          <w:color w:val="151F34"/>
          <w:spacing w:val="12"/>
        </w:rPr>
        <w:t> </w:t>
      </w:r>
      <w:r>
        <w:rPr>
          <w:color w:val="151F34"/>
        </w:rPr>
        <w:t>S1,</w:t>
      </w:r>
      <w:r>
        <w:rPr>
          <w:color w:val="151F34"/>
          <w:spacing w:val="11"/>
        </w:rPr>
        <w:t> </w:t>
      </w:r>
      <w:r>
        <w:rPr>
          <w:color w:val="151F34"/>
        </w:rPr>
        <w:t>NGER</w:t>
      </w:r>
      <w:r>
        <w:rPr>
          <w:color w:val="151F34"/>
          <w:spacing w:val="12"/>
        </w:rPr>
        <w:t> </w:t>
      </w:r>
      <w:r>
        <w:rPr>
          <w:color w:val="151F34"/>
        </w:rPr>
        <w:t>Scheme</w:t>
      </w:r>
      <w:r>
        <w:rPr>
          <w:color w:val="151F34"/>
          <w:spacing w:val="11"/>
        </w:rPr>
        <w:t> </w:t>
      </w:r>
      <w:r>
        <w:rPr>
          <w:color w:val="151F34"/>
        </w:rPr>
        <w:t>and</w:t>
      </w:r>
      <w:r>
        <w:rPr>
          <w:color w:val="151F34"/>
          <w:spacing w:val="12"/>
        </w:rPr>
        <w:t> </w:t>
      </w:r>
      <w:r>
        <w:rPr>
          <w:color w:val="151F34"/>
        </w:rPr>
        <w:t>Safeguard</w:t>
      </w:r>
      <w:r>
        <w:rPr>
          <w:color w:val="151F34"/>
          <w:spacing w:val="11"/>
        </w:rPr>
        <w:t> </w:t>
      </w:r>
      <w:r>
        <w:rPr>
          <w:color w:val="151F34"/>
        </w:rPr>
        <w:t>Mechanism</w:t>
      </w:r>
      <w:r>
        <w:rPr>
          <w:color w:val="151F34"/>
          <w:spacing w:val="12"/>
        </w:rPr>
        <w:t> </w:t>
      </w:r>
      <w:r>
        <w:rPr>
          <w:color w:val="151F34"/>
          <w:spacing w:val="-2"/>
        </w:rPr>
        <w:t>readiness</w:t>
      </w:r>
    </w:p>
    <w:p>
      <w:pPr>
        <w:pStyle w:val="BodyText"/>
        <w:spacing w:before="172"/>
        <w:ind w:left="1140"/>
      </w:pPr>
      <w:r>
        <w:rPr>
          <w:color w:val="697285"/>
          <w:spacing w:val="-2"/>
        </w:rPr>
        <w:t>Generated</w:t>
      </w:r>
      <w:r>
        <w:rPr>
          <w:color w:val="697285"/>
        </w:rPr>
        <w:t> </w:t>
      </w:r>
      <w:r>
        <w:rPr>
          <w:color w:val="697285"/>
          <w:spacing w:val="-5"/>
        </w:rPr>
        <w:t>on:</w:t>
      </w:r>
    </w:p>
    <w:p>
      <w:pPr>
        <w:spacing w:before="33"/>
        <w:ind w:left="1140" w:right="0" w:firstLine="0"/>
        <w:jc w:val="left"/>
        <w:rPr>
          <w:sz w:val="20"/>
        </w:rPr>
      </w:pPr>
      <w:r>
        <w:rPr>
          <w:color w:val="151F34"/>
          <w:sz w:val="20"/>
        </w:rPr>
        <w:t>10</w:t>
      </w:r>
      <w:r>
        <w:rPr>
          <w:color w:val="151F34"/>
          <w:spacing w:val="6"/>
          <w:sz w:val="20"/>
        </w:rPr>
        <w:t> </w:t>
      </w:r>
      <w:r>
        <w:rPr>
          <w:color w:val="151F34"/>
          <w:sz w:val="20"/>
        </w:rPr>
        <w:t>July</w:t>
      </w:r>
      <w:r>
        <w:rPr>
          <w:color w:val="151F34"/>
          <w:spacing w:val="7"/>
          <w:sz w:val="20"/>
        </w:rPr>
        <w:t> </w:t>
      </w:r>
      <w:r>
        <w:rPr>
          <w:color w:val="151F34"/>
          <w:spacing w:val="-4"/>
          <w:sz w:val="20"/>
        </w:rPr>
        <w:t>2026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4"/>
        <w:rPr>
          <w:sz w:val="20"/>
        </w:rPr>
      </w:pPr>
    </w:p>
    <w:p>
      <w:pPr>
        <w:pStyle w:val="Heading2"/>
      </w:pPr>
      <w:r>
        <w:rPr>
          <w:color w:val="168749"/>
        </w:rPr>
        <w:t>Table of </w:t>
      </w:r>
      <w:r>
        <w:rPr>
          <w:color w:val="168749"/>
          <w:spacing w:val="-2"/>
        </w:rPr>
        <w:t>Contents</w:t>
      </w:r>
    </w:p>
    <w:p>
      <w:pPr>
        <w:pStyle w:val="ListParagraph"/>
        <w:numPr>
          <w:ilvl w:val="0"/>
          <w:numId w:val="1"/>
        </w:numPr>
        <w:tabs>
          <w:tab w:pos="1748" w:val="left" w:leader="none"/>
          <w:tab w:pos="8929" w:val="left" w:leader="none"/>
        </w:tabs>
        <w:spacing w:line="240" w:lineRule="auto" w:before="192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Executive </w:t>
      </w:r>
      <w:r>
        <w:rPr>
          <w:color w:val="151F34"/>
          <w:spacing w:val="-2"/>
          <w:sz w:val="17"/>
        </w:rPr>
        <w:t>Summary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3</w:t>
      </w:r>
    </w:p>
    <w:p>
      <w:pPr>
        <w:pStyle w:val="ListParagraph"/>
        <w:numPr>
          <w:ilvl w:val="0"/>
          <w:numId w:val="1"/>
        </w:numPr>
        <w:tabs>
          <w:tab w:pos="1748" w:val="left" w:leader="none"/>
          <w:tab w:pos="8929" w:val="left" w:leader="none"/>
        </w:tabs>
        <w:spacing w:line="240" w:lineRule="auto" w:before="138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Reporting </w:t>
      </w:r>
      <w:r>
        <w:rPr>
          <w:color w:val="151F34"/>
          <w:spacing w:val="-2"/>
          <w:sz w:val="17"/>
        </w:rPr>
        <w:t>Basis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4</w:t>
      </w:r>
    </w:p>
    <w:p>
      <w:pPr>
        <w:pStyle w:val="ListParagraph"/>
        <w:numPr>
          <w:ilvl w:val="0"/>
          <w:numId w:val="1"/>
        </w:numPr>
        <w:tabs>
          <w:tab w:pos="1748" w:val="left" w:leader="none"/>
          <w:tab w:pos="8929" w:val="left" w:leader="none"/>
        </w:tabs>
        <w:spacing w:line="240" w:lineRule="auto" w:before="139" w:after="0"/>
        <w:ind w:left="1748" w:right="0" w:hanging="189"/>
        <w:jc w:val="left"/>
        <w:rPr>
          <w:sz w:val="17"/>
        </w:rPr>
      </w:pPr>
      <w:r>
        <w:rPr>
          <w:color w:val="151F34"/>
          <w:spacing w:val="-2"/>
          <w:sz w:val="17"/>
        </w:rPr>
        <w:t>Governance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5</w:t>
      </w:r>
    </w:p>
    <w:p>
      <w:pPr>
        <w:pStyle w:val="ListParagraph"/>
        <w:numPr>
          <w:ilvl w:val="0"/>
          <w:numId w:val="1"/>
        </w:numPr>
        <w:tabs>
          <w:tab w:pos="1748" w:val="left" w:leader="none"/>
          <w:tab w:pos="8929" w:val="left" w:leader="none"/>
        </w:tabs>
        <w:spacing w:line="240" w:lineRule="auto" w:before="138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Strategy and Climate </w:t>
      </w:r>
      <w:r>
        <w:rPr>
          <w:color w:val="151F34"/>
          <w:spacing w:val="-4"/>
          <w:sz w:val="17"/>
        </w:rPr>
        <w:t>Risk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6</w:t>
      </w:r>
    </w:p>
    <w:p>
      <w:pPr>
        <w:pStyle w:val="ListParagraph"/>
        <w:numPr>
          <w:ilvl w:val="0"/>
          <w:numId w:val="1"/>
        </w:numPr>
        <w:tabs>
          <w:tab w:pos="1748" w:val="left" w:leader="none"/>
          <w:tab w:pos="8929" w:val="left" w:leader="none"/>
        </w:tabs>
        <w:spacing w:line="240" w:lineRule="auto" w:before="139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Metrics and </w:t>
      </w:r>
      <w:r>
        <w:rPr>
          <w:color w:val="151F34"/>
          <w:spacing w:val="-2"/>
          <w:sz w:val="17"/>
        </w:rPr>
        <w:t>Targets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7</w:t>
      </w:r>
    </w:p>
    <w:p>
      <w:pPr>
        <w:pStyle w:val="ListParagraph"/>
        <w:numPr>
          <w:ilvl w:val="0"/>
          <w:numId w:val="1"/>
        </w:numPr>
        <w:tabs>
          <w:tab w:pos="1748" w:val="left" w:leader="none"/>
          <w:tab w:pos="8929" w:val="left" w:leader="none"/>
        </w:tabs>
        <w:spacing w:line="240" w:lineRule="auto" w:before="138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NGER </w:t>
      </w:r>
      <w:r>
        <w:rPr>
          <w:color w:val="151F34"/>
          <w:spacing w:val="-2"/>
          <w:sz w:val="17"/>
        </w:rPr>
        <w:t>Inventory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8</w:t>
      </w:r>
    </w:p>
    <w:p>
      <w:pPr>
        <w:pStyle w:val="ListParagraph"/>
        <w:numPr>
          <w:ilvl w:val="0"/>
          <w:numId w:val="1"/>
        </w:numPr>
        <w:tabs>
          <w:tab w:pos="1748" w:val="left" w:leader="none"/>
          <w:tab w:pos="8929" w:val="left" w:leader="none"/>
        </w:tabs>
        <w:spacing w:line="240" w:lineRule="auto" w:before="139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Safeguard Mechanism </w:t>
      </w:r>
      <w:r>
        <w:rPr>
          <w:color w:val="151F34"/>
          <w:spacing w:val="-2"/>
          <w:sz w:val="17"/>
        </w:rPr>
        <w:t>Readiness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9</w:t>
      </w:r>
    </w:p>
    <w:p>
      <w:pPr>
        <w:pStyle w:val="ListParagraph"/>
        <w:numPr>
          <w:ilvl w:val="0"/>
          <w:numId w:val="1"/>
        </w:numPr>
        <w:tabs>
          <w:tab w:pos="1748" w:val="left" w:leader="none"/>
          <w:tab w:pos="8929" w:val="left" w:leader="none"/>
        </w:tabs>
        <w:spacing w:line="240" w:lineRule="auto" w:before="138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Calculation </w:t>
      </w:r>
      <w:r>
        <w:rPr>
          <w:color w:val="151F34"/>
          <w:spacing w:val="-2"/>
          <w:sz w:val="17"/>
        </w:rPr>
        <w:t>Methodology</w:t>
      </w:r>
      <w:r>
        <w:rPr>
          <w:color w:val="151F34"/>
          <w:sz w:val="17"/>
        </w:rPr>
        <w:tab/>
        <w:t>Page </w:t>
      </w:r>
      <w:r>
        <w:rPr>
          <w:color w:val="151F34"/>
          <w:spacing w:val="-5"/>
          <w:sz w:val="17"/>
        </w:rPr>
        <w:t>10</w:t>
      </w:r>
    </w:p>
    <w:p>
      <w:pPr>
        <w:pStyle w:val="ListParagraph"/>
        <w:spacing w:after="0" w:line="240" w:lineRule="auto"/>
        <w:jc w:val="left"/>
        <w:rPr>
          <w:sz w:val="17"/>
        </w:rPr>
        <w:sectPr>
          <w:footerReference w:type="default" r:id="rId5"/>
          <w:type w:val="continuous"/>
          <w:pgSz w:w="11910" w:h="16840"/>
          <w:pgMar w:header="0" w:footer="521" w:top="0" w:bottom="720" w:left="0" w:right="0"/>
          <w:pgNumType w:start="1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Table of </w:t>
      </w:r>
      <w:r>
        <w:rPr>
          <w:color w:val="151F34"/>
          <w:spacing w:val="-2"/>
        </w:rPr>
        <w:t>Contents</w:t>
      </w:r>
    </w:p>
    <w:p>
      <w:pPr>
        <w:pStyle w:val="Heading2"/>
        <w:spacing w:before="213"/>
      </w:pPr>
      <w:r>
        <w:rPr>
          <w:color w:val="168749"/>
        </w:rPr>
        <w:t>Complete section list for the </w:t>
      </w:r>
      <w:r>
        <w:rPr>
          <w:color w:val="168749"/>
          <w:spacing w:val="-2"/>
        </w:rPr>
        <w:t>report.</w:t>
      </w:r>
    </w:p>
    <w:p>
      <w:pPr>
        <w:pStyle w:val="ListParagraph"/>
        <w:numPr>
          <w:ilvl w:val="0"/>
          <w:numId w:val="2"/>
        </w:numPr>
        <w:tabs>
          <w:tab w:pos="1748" w:val="left" w:leader="none"/>
          <w:tab w:pos="8929" w:val="left" w:leader="none"/>
        </w:tabs>
        <w:spacing w:line="240" w:lineRule="auto" w:before="231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Executive </w:t>
      </w:r>
      <w:r>
        <w:rPr>
          <w:color w:val="151F34"/>
          <w:spacing w:val="-2"/>
          <w:sz w:val="17"/>
        </w:rPr>
        <w:t>Summary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3</w:t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2"/>
        </w:numPr>
        <w:tabs>
          <w:tab w:pos="1748" w:val="left" w:leader="none"/>
          <w:tab w:pos="8929" w:val="left" w:leader="none"/>
        </w:tabs>
        <w:spacing w:line="240" w:lineRule="auto" w:before="0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Reporting </w:t>
      </w:r>
      <w:r>
        <w:rPr>
          <w:color w:val="151F34"/>
          <w:spacing w:val="-2"/>
          <w:sz w:val="17"/>
        </w:rPr>
        <w:t>Basis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4</w:t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2"/>
        </w:numPr>
        <w:tabs>
          <w:tab w:pos="1748" w:val="left" w:leader="none"/>
          <w:tab w:pos="8929" w:val="left" w:leader="none"/>
        </w:tabs>
        <w:spacing w:line="240" w:lineRule="auto" w:before="0" w:after="0"/>
        <w:ind w:left="1748" w:right="0" w:hanging="189"/>
        <w:jc w:val="left"/>
        <w:rPr>
          <w:sz w:val="17"/>
        </w:rPr>
      </w:pPr>
      <w:r>
        <w:rPr>
          <w:color w:val="151F34"/>
          <w:spacing w:val="-2"/>
          <w:sz w:val="17"/>
        </w:rPr>
        <w:t>Governance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5</w:t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2"/>
        </w:numPr>
        <w:tabs>
          <w:tab w:pos="1748" w:val="left" w:leader="none"/>
          <w:tab w:pos="8929" w:val="left" w:leader="none"/>
        </w:tabs>
        <w:spacing w:line="240" w:lineRule="auto" w:before="0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Strategy and Climate </w:t>
      </w:r>
      <w:r>
        <w:rPr>
          <w:color w:val="151F34"/>
          <w:spacing w:val="-4"/>
          <w:sz w:val="17"/>
        </w:rPr>
        <w:t>Risk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6</w:t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2"/>
        </w:numPr>
        <w:tabs>
          <w:tab w:pos="1748" w:val="left" w:leader="none"/>
          <w:tab w:pos="8929" w:val="left" w:leader="none"/>
        </w:tabs>
        <w:spacing w:line="240" w:lineRule="auto" w:before="0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Metrics and </w:t>
      </w:r>
      <w:r>
        <w:rPr>
          <w:color w:val="151F34"/>
          <w:spacing w:val="-2"/>
          <w:sz w:val="17"/>
        </w:rPr>
        <w:t>Targets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7</w:t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2"/>
        </w:numPr>
        <w:tabs>
          <w:tab w:pos="1748" w:val="left" w:leader="none"/>
          <w:tab w:pos="8929" w:val="left" w:leader="none"/>
        </w:tabs>
        <w:spacing w:line="240" w:lineRule="auto" w:before="0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NGER </w:t>
      </w:r>
      <w:r>
        <w:rPr>
          <w:color w:val="151F34"/>
          <w:spacing w:val="-2"/>
          <w:sz w:val="17"/>
        </w:rPr>
        <w:t>Inventory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8</w:t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2"/>
        </w:numPr>
        <w:tabs>
          <w:tab w:pos="1748" w:val="left" w:leader="none"/>
          <w:tab w:pos="8929" w:val="left" w:leader="none"/>
        </w:tabs>
        <w:spacing w:line="240" w:lineRule="auto" w:before="0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Safeguard Mechanism </w:t>
      </w:r>
      <w:r>
        <w:rPr>
          <w:color w:val="151F34"/>
          <w:spacing w:val="-2"/>
          <w:sz w:val="17"/>
        </w:rPr>
        <w:t>Readiness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9</w:t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2"/>
        </w:numPr>
        <w:tabs>
          <w:tab w:pos="1748" w:val="left" w:leader="none"/>
          <w:tab w:pos="8929" w:val="left" w:leader="none"/>
        </w:tabs>
        <w:spacing w:line="240" w:lineRule="auto" w:before="1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Calculation </w:t>
      </w:r>
      <w:r>
        <w:rPr>
          <w:color w:val="151F34"/>
          <w:spacing w:val="-2"/>
          <w:sz w:val="17"/>
        </w:rPr>
        <w:t>Methodology</w:t>
      </w:r>
      <w:r>
        <w:rPr>
          <w:color w:val="151F34"/>
          <w:sz w:val="17"/>
        </w:rPr>
        <w:tab/>
        <w:t>Page </w:t>
      </w:r>
      <w:r>
        <w:rPr>
          <w:color w:val="151F34"/>
          <w:spacing w:val="-5"/>
          <w:sz w:val="17"/>
        </w:rPr>
        <w:t>10</w:t>
      </w:r>
    </w:p>
    <w:p>
      <w:pPr>
        <w:pStyle w:val="BodyText"/>
        <w:spacing w:before="32"/>
      </w:pPr>
    </w:p>
    <w:p>
      <w:pPr>
        <w:pStyle w:val="ListParagraph"/>
        <w:numPr>
          <w:ilvl w:val="0"/>
          <w:numId w:val="2"/>
        </w:numPr>
        <w:tabs>
          <w:tab w:pos="1748" w:val="left" w:leader="none"/>
          <w:tab w:pos="8929" w:val="left" w:leader="none"/>
        </w:tabs>
        <w:spacing w:line="240" w:lineRule="auto" w:before="1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Energy </w:t>
      </w:r>
      <w:r>
        <w:rPr>
          <w:color w:val="151F34"/>
          <w:spacing w:val="-2"/>
          <w:sz w:val="17"/>
        </w:rPr>
        <w:t>Performance</w:t>
      </w:r>
      <w:r>
        <w:rPr>
          <w:color w:val="151F34"/>
          <w:sz w:val="17"/>
        </w:rPr>
        <w:tab/>
        <w:t>Page </w:t>
      </w:r>
      <w:r>
        <w:rPr>
          <w:color w:val="151F34"/>
          <w:spacing w:val="-5"/>
          <w:sz w:val="17"/>
        </w:rPr>
        <w:t>11</w:t>
      </w:r>
    </w:p>
    <w:p>
      <w:pPr>
        <w:pStyle w:val="BodyText"/>
        <w:spacing w:before="32"/>
      </w:pPr>
    </w:p>
    <w:p>
      <w:pPr>
        <w:pStyle w:val="ListParagraph"/>
        <w:numPr>
          <w:ilvl w:val="0"/>
          <w:numId w:val="2"/>
        </w:numPr>
        <w:tabs>
          <w:tab w:pos="1842" w:val="left" w:leader="none"/>
          <w:tab w:pos="8929" w:val="left" w:leader="none"/>
        </w:tabs>
        <w:spacing w:line="240" w:lineRule="auto" w:before="1" w:after="0"/>
        <w:ind w:left="1842" w:right="0" w:hanging="283"/>
        <w:jc w:val="left"/>
        <w:rPr>
          <w:sz w:val="17"/>
        </w:rPr>
      </w:pPr>
      <w:r>
        <w:rPr>
          <w:color w:val="151F34"/>
          <w:sz w:val="17"/>
        </w:rPr>
        <w:t>Evidence </w:t>
      </w:r>
      <w:r>
        <w:rPr>
          <w:color w:val="151F34"/>
          <w:spacing w:val="-2"/>
          <w:sz w:val="17"/>
        </w:rPr>
        <w:t>Register</w:t>
      </w:r>
      <w:r>
        <w:rPr>
          <w:color w:val="151F34"/>
          <w:sz w:val="17"/>
        </w:rPr>
        <w:tab/>
        <w:t>Page </w:t>
      </w:r>
      <w:r>
        <w:rPr>
          <w:color w:val="151F34"/>
          <w:spacing w:val="-5"/>
          <w:sz w:val="17"/>
        </w:rPr>
        <w:t>12</w:t>
      </w:r>
    </w:p>
    <w:p>
      <w:pPr>
        <w:pStyle w:val="BodyText"/>
        <w:spacing w:before="32"/>
      </w:pPr>
    </w:p>
    <w:p>
      <w:pPr>
        <w:pStyle w:val="ListParagraph"/>
        <w:numPr>
          <w:ilvl w:val="0"/>
          <w:numId w:val="2"/>
        </w:numPr>
        <w:tabs>
          <w:tab w:pos="1842" w:val="left" w:leader="none"/>
          <w:tab w:pos="8929" w:val="left" w:leader="none"/>
        </w:tabs>
        <w:spacing w:line="240" w:lineRule="auto" w:before="1" w:after="0"/>
        <w:ind w:left="1842" w:right="0" w:hanging="283"/>
        <w:jc w:val="left"/>
        <w:rPr>
          <w:sz w:val="17"/>
        </w:rPr>
      </w:pPr>
      <w:r>
        <w:rPr>
          <w:color w:val="151F34"/>
          <w:sz w:val="17"/>
        </w:rPr>
        <w:t>Compliance </w:t>
      </w:r>
      <w:r>
        <w:rPr>
          <w:color w:val="151F34"/>
          <w:spacing w:val="-2"/>
          <w:sz w:val="17"/>
        </w:rPr>
        <w:t>Checklist</w:t>
      </w:r>
      <w:r>
        <w:rPr>
          <w:color w:val="151F34"/>
          <w:sz w:val="17"/>
        </w:rPr>
        <w:tab/>
        <w:t>Page </w:t>
      </w:r>
      <w:r>
        <w:rPr>
          <w:color w:val="151F34"/>
          <w:spacing w:val="-5"/>
          <w:sz w:val="17"/>
        </w:rPr>
        <w:t>13</w:t>
      </w:r>
    </w:p>
    <w:p>
      <w:pPr>
        <w:pStyle w:val="BodyText"/>
        <w:spacing w:before="32"/>
      </w:pPr>
    </w:p>
    <w:p>
      <w:pPr>
        <w:pStyle w:val="ListParagraph"/>
        <w:numPr>
          <w:ilvl w:val="0"/>
          <w:numId w:val="2"/>
        </w:numPr>
        <w:tabs>
          <w:tab w:pos="1842" w:val="left" w:leader="none"/>
          <w:tab w:pos="8929" w:val="left" w:leader="none"/>
        </w:tabs>
        <w:spacing w:line="240" w:lineRule="auto" w:before="1" w:after="0"/>
        <w:ind w:left="1842" w:right="0" w:hanging="283"/>
        <w:jc w:val="left"/>
        <w:rPr>
          <w:sz w:val="17"/>
        </w:rPr>
      </w:pPr>
      <w:r>
        <w:rPr>
          <w:color w:val="151F34"/>
          <w:sz w:val="17"/>
        </w:rPr>
        <w:t>Decarbonisation </w:t>
      </w:r>
      <w:r>
        <w:rPr>
          <w:color w:val="151F34"/>
          <w:spacing w:val="-2"/>
          <w:sz w:val="17"/>
        </w:rPr>
        <w:t>Roadmap</w:t>
      </w:r>
      <w:r>
        <w:rPr>
          <w:color w:val="151F34"/>
          <w:sz w:val="17"/>
        </w:rPr>
        <w:tab/>
        <w:t>Page </w:t>
      </w:r>
      <w:r>
        <w:rPr>
          <w:color w:val="151F34"/>
          <w:spacing w:val="-5"/>
          <w:sz w:val="17"/>
        </w:rPr>
        <w:t>14</w:t>
      </w:r>
    </w:p>
    <w:p>
      <w:pPr>
        <w:pStyle w:val="BodyText"/>
        <w:spacing w:before="32"/>
      </w:pPr>
    </w:p>
    <w:p>
      <w:pPr>
        <w:pStyle w:val="ListParagraph"/>
        <w:numPr>
          <w:ilvl w:val="0"/>
          <w:numId w:val="2"/>
        </w:numPr>
        <w:tabs>
          <w:tab w:pos="1842" w:val="left" w:leader="none"/>
          <w:tab w:pos="8929" w:val="left" w:leader="none"/>
        </w:tabs>
        <w:spacing w:line="240" w:lineRule="auto" w:before="1" w:after="0"/>
        <w:ind w:left="1842" w:right="0" w:hanging="283"/>
        <w:jc w:val="left"/>
        <w:rPr>
          <w:sz w:val="17"/>
        </w:rPr>
      </w:pPr>
      <w:r>
        <w:rPr>
          <w:color w:val="151F34"/>
          <w:spacing w:val="-2"/>
          <w:sz w:val="17"/>
        </w:rPr>
        <w:t>Appendix</w:t>
      </w:r>
      <w:r>
        <w:rPr>
          <w:color w:val="151F34"/>
          <w:sz w:val="17"/>
        </w:rPr>
        <w:tab/>
        <w:t>Page </w:t>
      </w:r>
      <w:r>
        <w:rPr>
          <w:color w:val="151F34"/>
          <w:spacing w:val="-5"/>
          <w:sz w:val="17"/>
        </w:rPr>
        <w:t>15</w:t>
      </w:r>
    </w:p>
    <w:p>
      <w:pPr>
        <w:pStyle w:val="ListParagraph"/>
        <w:spacing w:after="0" w:line="240" w:lineRule="auto"/>
        <w:jc w:val="left"/>
        <w:rPr>
          <w:sz w:val="17"/>
        </w:rPr>
        <w:sectPr>
          <w:headerReference w:type="default" r:id="rId6"/>
          <w:footerReference w:type="default" r:id="rId7"/>
          <w:pgSz w:w="11910" w:h="16840"/>
          <w:pgMar w:header="0" w:footer="512" w:top="1020" w:bottom="700" w:left="0" w:right="0"/>
          <w:pgNumType w:start="2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Executive </w:t>
      </w:r>
      <w:r>
        <w:rPr>
          <w:color w:val="151F34"/>
          <w:spacing w:val="-2"/>
        </w:rPr>
        <w:t>Summary</w:t>
      </w:r>
    </w:p>
    <w:p>
      <w:pPr>
        <w:pStyle w:val="Heading2"/>
        <w:spacing w:before="213"/>
      </w:pPr>
      <w:r>
        <w:rPr>
          <w:color w:val="168749"/>
        </w:rPr>
        <w:t>Management view of climate position, footprint and reporting </w:t>
      </w:r>
      <w:r>
        <w:rPr>
          <w:color w:val="168749"/>
          <w:spacing w:val="-2"/>
        </w:rPr>
        <w:t>readiness.</w:t>
      </w:r>
    </w:p>
    <w:p>
      <w:pPr>
        <w:pStyle w:val="Heading3"/>
        <w:spacing w:line="302" w:lineRule="auto"/>
      </w:pPr>
      <w:r>
        <w:rPr>
          <w:color w:val="151F34"/>
        </w:rPr>
        <w:t>This page follows the natural disclosure structure for Australia.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 w:after="1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678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AASB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S2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/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AASB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S1,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NGER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Scheme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and Safeguard Mechanism readiness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193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4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193"/>
              <w:rPr>
                <w:sz w:val="17"/>
              </w:rPr>
            </w:pPr>
            <w:r>
              <w:rPr>
                <w:color w:val="151F34"/>
                <w:sz w:val="17"/>
              </w:rPr>
              <w:t>Complete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client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data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pack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for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Executive </w:t>
            </w:r>
            <w:r>
              <w:rPr>
                <w:color w:val="151F34"/>
                <w:spacing w:val="-2"/>
                <w:sz w:val="17"/>
              </w:rPr>
              <w:t>Summary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1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p>
      <w:pPr>
        <w:pStyle w:val="BodyText"/>
        <w:spacing w:after="0" w:line="271" w:lineRule="auto"/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Reporting </w:t>
      </w:r>
      <w:r>
        <w:rPr>
          <w:color w:val="151F34"/>
          <w:spacing w:val="-2"/>
        </w:rPr>
        <w:t>Basis</w:t>
      </w:r>
    </w:p>
    <w:p>
      <w:pPr>
        <w:pStyle w:val="Heading2"/>
        <w:spacing w:line="268" w:lineRule="auto" w:before="213"/>
        <w:ind w:right="6"/>
      </w:pPr>
      <w:r>
        <w:rPr>
          <w:color w:val="168749"/>
        </w:rPr>
        <w:t>AASB</w:t>
      </w:r>
      <w:r>
        <w:rPr>
          <w:color w:val="168749"/>
          <w:spacing w:val="-7"/>
        </w:rPr>
        <w:t> </w:t>
      </w:r>
      <w:r>
        <w:rPr>
          <w:color w:val="168749"/>
        </w:rPr>
        <w:t>S2</w:t>
      </w:r>
      <w:r>
        <w:rPr>
          <w:color w:val="168749"/>
          <w:spacing w:val="-7"/>
        </w:rPr>
        <w:t> </w:t>
      </w:r>
      <w:r>
        <w:rPr>
          <w:color w:val="168749"/>
        </w:rPr>
        <w:t>climate</w:t>
      </w:r>
      <w:r>
        <w:rPr>
          <w:color w:val="168749"/>
          <w:spacing w:val="-7"/>
        </w:rPr>
        <w:t> </w:t>
      </w:r>
      <w:r>
        <w:rPr>
          <w:color w:val="168749"/>
        </w:rPr>
        <w:t>disclosures,</w:t>
      </w:r>
      <w:r>
        <w:rPr>
          <w:color w:val="168749"/>
          <w:spacing w:val="-7"/>
        </w:rPr>
        <w:t> </w:t>
      </w:r>
      <w:r>
        <w:rPr>
          <w:color w:val="168749"/>
        </w:rPr>
        <w:t>AASB</w:t>
      </w:r>
      <w:r>
        <w:rPr>
          <w:color w:val="168749"/>
          <w:spacing w:val="-7"/>
        </w:rPr>
        <w:t> </w:t>
      </w:r>
      <w:r>
        <w:rPr>
          <w:color w:val="168749"/>
        </w:rPr>
        <w:t>S1</w:t>
      </w:r>
      <w:r>
        <w:rPr>
          <w:color w:val="168749"/>
          <w:spacing w:val="-7"/>
        </w:rPr>
        <w:t> </w:t>
      </w:r>
      <w:r>
        <w:rPr>
          <w:color w:val="168749"/>
        </w:rPr>
        <w:t>general</w:t>
      </w:r>
      <w:r>
        <w:rPr>
          <w:color w:val="168749"/>
          <w:spacing w:val="-7"/>
        </w:rPr>
        <w:t> </w:t>
      </w:r>
      <w:r>
        <w:rPr>
          <w:color w:val="168749"/>
        </w:rPr>
        <w:t>requirements</w:t>
      </w:r>
      <w:r>
        <w:rPr>
          <w:color w:val="168749"/>
          <w:spacing w:val="-7"/>
        </w:rPr>
        <w:t> </w:t>
      </w:r>
      <w:r>
        <w:rPr>
          <w:color w:val="168749"/>
        </w:rPr>
        <w:t>and</w:t>
      </w:r>
      <w:r>
        <w:rPr>
          <w:color w:val="168749"/>
          <w:spacing w:val="-7"/>
        </w:rPr>
        <w:t> </w:t>
      </w:r>
      <w:r>
        <w:rPr>
          <w:color w:val="168749"/>
        </w:rPr>
        <w:t>NGER evidence discipline.</w:t>
      </w:r>
    </w:p>
    <w:p>
      <w:pPr>
        <w:pStyle w:val="Heading3"/>
        <w:spacing w:line="302" w:lineRule="auto" w:before="118"/>
      </w:pPr>
      <w:r>
        <w:rPr>
          <w:color w:val="151F34"/>
        </w:rPr>
        <w:t>This page follows the natural disclosure structure for Australia.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678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AASB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S2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/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AASB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S1,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NGER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Scheme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and Safeguard Mechanism readiness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8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193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3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453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Complete client data pack for Reporting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1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p>
      <w:pPr>
        <w:pStyle w:val="BodyText"/>
        <w:spacing w:after="0" w:line="271" w:lineRule="auto"/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  <w:spacing w:val="-2"/>
        </w:rPr>
        <w:t>Governance</w:t>
      </w:r>
    </w:p>
    <w:p>
      <w:pPr>
        <w:pStyle w:val="Heading2"/>
        <w:spacing w:before="213"/>
      </w:pPr>
      <w:r>
        <w:rPr>
          <w:color w:val="168749"/>
        </w:rPr>
        <w:t>Board and management oversight, responsibilities and sign-off </w:t>
      </w:r>
      <w:r>
        <w:rPr>
          <w:color w:val="168749"/>
          <w:spacing w:val="-2"/>
        </w:rPr>
        <w:t>model.</w:t>
      </w:r>
    </w:p>
    <w:p>
      <w:pPr>
        <w:pStyle w:val="Heading3"/>
        <w:spacing w:line="302" w:lineRule="auto"/>
      </w:pPr>
      <w:r>
        <w:rPr>
          <w:color w:val="151F34"/>
        </w:rPr>
        <w:t>This page follows the natural disclosure structure for Australia.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 w:after="1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678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AASB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S2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/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AASB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S1,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NGER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Scheme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and Safeguard Mechanism readiness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193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3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453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Complete client data pack for </w:t>
            </w:r>
            <w:r>
              <w:rPr>
                <w:color w:val="151F34"/>
                <w:spacing w:val="-2"/>
                <w:sz w:val="17"/>
              </w:rPr>
              <w:t>Governance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2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p>
      <w:pPr>
        <w:pStyle w:val="BodyText"/>
        <w:spacing w:after="0" w:line="271" w:lineRule="auto"/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Strategy and Climate </w:t>
      </w:r>
      <w:r>
        <w:rPr>
          <w:color w:val="151F34"/>
          <w:spacing w:val="-4"/>
        </w:rPr>
        <w:t>Risk</w:t>
      </w:r>
    </w:p>
    <w:p>
      <w:pPr>
        <w:pStyle w:val="Heading2"/>
        <w:spacing w:before="213"/>
      </w:pPr>
      <w:r>
        <w:rPr>
          <w:color w:val="168749"/>
        </w:rPr>
        <w:t>Physical and transition risks, opportunities and resilience </w:t>
      </w:r>
      <w:r>
        <w:rPr>
          <w:color w:val="168749"/>
          <w:spacing w:val="-2"/>
        </w:rPr>
        <w:t>narrative.</w:t>
      </w:r>
    </w:p>
    <w:p>
      <w:pPr>
        <w:pStyle w:val="Heading3"/>
        <w:spacing w:line="302" w:lineRule="auto"/>
      </w:pPr>
      <w:r>
        <w:rPr>
          <w:color w:val="151F34"/>
        </w:rPr>
        <w:t>This page follows the natural disclosure structure for Australia.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 w:after="1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678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AASB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S2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/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AASB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S1,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NGER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Scheme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and Safeguard Mechanism readiness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193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4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193"/>
              <w:rPr>
                <w:sz w:val="17"/>
              </w:rPr>
            </w:pPr>
            <w:r>
              <w:rPr>
                <w:color w:val="151F34"/>
                <w:sz w:val="17"/>
              </w:rPr>
              <w:t>Complete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client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data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pack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for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Strategy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and Climate Risk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1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p>
      <w:pPr>
        <w:pStyle w:val="BodyText"/>
        <w:spacing w:after="0" w:line="271" w:lineRule="auto"/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Metrics and </w:t>
      </w:r>
      <w:r>
        <w:rPr>
          <w:color w:val="151F34"/>
          <w:spacing w:val="-2"/>
        </w:rPr>
        <w:t>Targets</w:t>
      </w:r>
    </w:p>
    <w:p>
      <w:pPr>
        <w:pStyle w:val="Heading2"/>
        <w:spacing w:before="213"/>
      </w:pPr>
      <w:r>
        <w:rPr>
          <w:color w:val="168749"/>
        </w:rPr>
        <w:t>Scope 1, Scope 2, energy, intensity and target </w:t>
      </w:r>
      <w:r>
        <w:rPr>
          <w:color w:val="168749"/>
          <w:spacing w:val="-2"/>
        </w:rPr>
        <w:t>tracking.</w:t>
      </w:r>
    </w:p>
    <w:p>
      <w:pPr>
        <w:pStyle w:val="Heading3"/>
        <w:spacing w:line="302" w:lineRule="auto"/>
      </w:pPr>
      <w:r>
        <w:rPr>
          <w:color w:val="151F34"/>
        </w:rPr>
        <w:t>This page follows the natural disclosure structure for Australia.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 w:after="1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678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AASB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S2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/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AASB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S1,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NGER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Scheme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and Safeguard Mechanism readiness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193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4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193"/>
              <w:rPr>
                <w:sz w:val="17"/>
              </w:rPr>
            </w:pPr>
            <w:r>
              <w:rPr>
                <w:color w:val="151F34"/>
                <w:sz w:val="17"/>
              </w:rPr>
              <w:t>Complete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client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data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pack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for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Metrics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and </w:t>
            </w:r>
            <w:r>
              <w:rPr>
                <w:color w:val="151F34"/>
                <w:spacing w:val="-2"/>
                <w:sz w:val="17"/>
              </w:rPr>
              <w:t>Targets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1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p>
      <w:pPr>
        <w:pStyle w:val="BodyText"/>
        <w:spacing w:after="0" w:line="271" w:lineRule="auto"/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NGER </w:t>
      </w:r>
      <w:r>
        <w:rPr>
          <w:color w:val="151F34"/>
          <w:spacing w:val="-2"/>
        </w:rPr>
        <w:t>Inventory</w:t>
      </w:r>
    </w:p>
    <w:p>
      <w:pPr>
        <w:pStyle w:val="Heading2"/>
        <w:spacing w:before="213"/>
      </w:pPr>
      <w:r>
        <w:rPr>
          <w:color w:val="168749"/>
        </w:rPr>
        <w:t>Emissions, energy production and energy consumption data </w:t>
      </w:r>
      <w:r>
        <w:rPr>
          <w:color w:val="168749"/>
          <w:spacing w:val="-2"/>
        </w:rPr>
        <w:t>controls.</w:t>
      </w:r>
    </w:p>
    <w:p>
      <w:pPr>
        <w:pStyle w:val="Heading3"/>
        <w:spacing w:line="302" w:lineRule="auto"/>
      </w:pPr>
      <w:r>
        <w:rPr>
          <w:color w:val="151F34"/>
        </w:rPr>
        <w:t>This page follows the natural disclosure structure for Australia.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 w:after="1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678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AASB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S2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/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AASB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S1,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NGER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Scheme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and Safeguard Mechanism readiness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193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3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453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Complete client data pack for NGER </w:t>
            </w:r>
            <w:r>
              <w:rPr>
                <w:color w:val="151F34"/>
                <w:spacing w:val="-2"/>
                <w:sz w:val="17"/>
              </w:rPr>
              <w:t>Inventory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2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p>
      <w:pPr>
        <w:pStyle w:val="BodyText"/>
        <w:spacing w:after="0" w:line="271" w:lineRule="auto"/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Safeguard Mechanism </w:t>
      </w:r>
      <w:r>
        <w:rPr>
          <w:color w:val="151F34"/>
          <w:spacing w:val="-2"/>
        </w:rPr>
        <w:t>Readiness</w:t>
      </w:r>
    </w:p>
    <w:p>
      <w:pPr>
        <w:pStyle w:val="Heading2"/>
        <w:spacing w:before="213"/>
      </w:pPr>
      <w:r>
        <w:rPr>
          <w:color w:val="168749"/>
        </w:rPr>
        <w:t>Facility threshold screening and high-emitter control </w:t>
      </w:r>
      <w:r>
        <w:rPr>
          <w:color w:val="168749"/>
          <w:spacing w:val="-2"/>
        </w:rPr>
        <w:t>notes.</w:t>
      </w:r>
    </w:p>
    <w:p>
      <w:pPr>
        <w:pStyle w:val="Heading3"/>
        <w:spacing w:line="302" w:lineRule="auto"/>
      </w:pPr>
      <w:r>
        <w:rPr>
          <w:color w:val="151F34"/>
        </w:rPr>
        <w:t>This page follows the natural disclosure structure for Australia.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 w:after="1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678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AASB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S2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/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AASB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S1,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NGER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Scheme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and Safeguard Mechanism readiness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193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4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Complete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client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data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pack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for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Safeguard Mechanism Readiness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1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p>
      <w:pPr>
        <w:pStyle w:val="BodyText"/>
        <w:spacing w:after="0" w:line="271" w:lineRule="auto"/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Calculation </w:t>
      </w:r>
      <w:r>
        <w:rPr>
          <w:color w:val="151F34"/>
          <w:spacing w:val="-2"/>
        </w:rPr>
        <w:t>Methodology</w:t>
      </w:r>
    </w:p>
    <w:p>
      <w:pPr>
        <w:pStyle w:val="Heading2"/>
        <w:spacing w:before="213"/>
      </w:pPr>
      <w:r>
        <w:rPr>
          <w:color w:val="168749"/>
        </w:rPr>
        <w:t>Activity data, conversion factors and quality assurance </w:t>
      </w:r>
      <w:r>
        <w:rPr>
          <w:color w:val="168749"/>
          <w:spacing w:val="-2"/>
        </w:rPr>
        <w:t>steps.</w:t>
      </w:r>
    </w:p>
    <w:p>
      <w:pPr>
        <w:pStyle w:val="Heading3"/>
        <w:spacing w:line="302" w:lineRule="auto"/>
      </w:pPr>
      <w:r>
        <w:rPr>
          <w:color w:val="151F34"/>
        </w:rPr>
        <w:t>This page follows the natural disclosure structure for Australia.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 w:after="1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678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AASB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S2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/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AASB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S1,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NGER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Scheme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and Safeguard Mechanism readiness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193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4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Complete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client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data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pack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for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Methodology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1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p>
      <w:pPr>
        <w:pStyle w:val="BodyText"/>
        <w:spacing w:after="0" w:line="271" w:lineRule="auto"/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Energy </w:t>
      </w:r>
      <w:r>
        <w:rPr>
          <w:color w:val="151F34"/>
          <w:spacing w:val="-2"/>
        </w:rPr>
        <w:t>Performance</w:t>
      </w:r>
    </w:p>
    <w:p>
      <w:pPr>
        <w:pStyle w:val="Heading2"/>
        <w:spacing w:before="213"/>
      </w:pPr>
      <w:r>
        <w:rPr>
          <w:color w:val="168749"/>
        </w:rPr>
        <w:t>Electricity consumption, intensity ratios and efficiency </w:t>
      </w:r>
      <w:r>
        <w:rPr>
          <w:color w:val="168749"/>
          <w:spacing w:val="-2"/>
        </w:rPr>
        <w:t>actions.</w:t>
      </w:r>
    </w:p>
    <w:p>
      <w:pPr>
        <w:pStyle w:val="Heading3"/>
        <w:spacing w:line="302" w:lineRule="auto"/>
      </w:pPr>
      <w:r>
        <w:rPr>
          <w:color w:val="151F34"/>
        </w:rPr>
        <w:t>This page follows the natural disclosure structure for Australia.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 w:after="1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678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AASB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S2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/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AASB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S1,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NGER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Scheme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and Safeguard Mechanism readiness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193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4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193"/>
              <w:rPr>
                <w:sz w:val="17"/>
              </w:rPr>
            </w:pPr>
            <w:r>
              <w:rPr>
                <w:color w:val="151F34"/>
                <w:sz w:val="17"/>
              </w:rPr>
              <w:t>Complete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client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data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pack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for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Energy </w:t>
            </w:r>
            <w:r>
              <w:rPr>
                <w:color w:val="151F34"/>
                <w:spacing w:val="-2"/>
                <w:sz w:val="17"/>
              </w:rPr>
              <w:t>Performance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1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p>
      <w:pPr>
        <w:pStyle w:val="BodyText"/>
        <w:spacing w:after="0" w:line="271" w:lineRule="auto"/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Evidence </w:t>
      </w:r>
      <w:r>
        <w:rPr>
          <w:color w:val="151F34"/>
          <w:spacing w:val="-2"/>
        </w:rPr>
        <w:t>Register</w:t>
      </w:r>
    </w:p>
    <w:p>
      <w:pPr>
        <w:pStyle w:val="Heading2"/>
        <w:spacing w:before="213"/>
      </w:pPr>
      <w:r>
        <w:rPr>
          <w:color w:val="168749"/>
        </w:rPr>
        <w:t>Invoices, meter logs, factor source, reviewer and approval </w:t>
      </w:r>
      <w:r>
        <w:rPr>
          <w:color w:val="168749"/>
          <w:spacing w:val="-2"/>
        </w:rPr>
        <w:t>evidence.</w:t>
      </w:r>
    </w:p>
    <w:p>
      <w:pPr>
        <w:pStyle w:val="Heading3"/>
        <w:spacing w:line="302" w:lineRule="auto"/>
      </w:pPr>
      <w:r>
        <w:rPr>
          <w:color w:val="151F34"/>
        </w:rPr>
        <w:t>This page follows the natural disclosure structure for Australia.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 w:after="1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678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AASB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S2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/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AASB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S1,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NGER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Scheme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and Safeguard Mechanism readiness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193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3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453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Complete client data pack for Evidence </w:t>
            </w:r>
            <w:r>
              <w:rPr>
                <w:color w:val="151F34"/>
                <w:spacing w:val="-2"/>
                <w:sz w:val="17"/>
              </w:rPr>
              <w:t>Register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2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p>
      <w:pPr>
        <w:pStyle w:val="BodyText"/>
        <w:spacing w:after="0" w:line="271" w:lineRule="auto"/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Compliance </w:t>
      </w:r>
      <w:r>
        <w:rPr>
          <w:color w:val="151F34"/>
          <w:spacing w:val="-2"/>
        </w:rPr>
        <w:t>Checklist</w:t>
      </w:r>
    </w:p>
    <w:p>
      <w:pPr>
        <w:pStyle w:val="Heading2"/>
        <w:spacing w:before="213"/>
      </w:pPr>
      <w:r>
        <w:rPr>
          <w:color w:val="168749"/>
        </w:rPr>
        <w:t>Required disclosures, current status and next </w:t>
      </w:r>
      <w:r>
        <w:rPr>
          <w:color w:val="168749"/>
          <w:spacing w:val="-2"/>
        </w:rPr>
        <w:t>action.</w:t>
      </w:r>
    </w:p>
    <w:p>
      <w:pPr>
        <w:pStyle w:val="Heading3"/>
        <w:spacing w:line="302" w:lineRule="auto"/>
      </w:pPr>
      <w:r>
        <w:rPr>
          <w:color w:val="151F34"/>
        </w:rPr>
        <w:t>This page follows the natural disclosure structure for Australia.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 w:after="1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678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AASB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S2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/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AASB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S1,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NGER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Scheme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and Safeguard Mechanism readiness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193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4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193"/>
              <w:rPr>
                <w:sz w:val="17"/>
              </w:rPr>
            </w:pPr>
            <w:r>
              <w:rPr>
                <w:color w:val="151F34"/>
                <w:sz w:val="17"/>
              </w:rPr>
              <w:t>Complete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client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data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pack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for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Compliance </w:t>
            </w:r>
            <w:r>
              <w:rPr>
                <w:color w:val="151F34"/>
                <w:spacing w:val="-2"/>
                <w:sz w:val="17"/>
              </w:rPr>
              <w:t>Checklist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1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p>
      <w:pPr>
        <w:pStyle w:val="BodyText"/>
        <w:spacing w:after="0" w:line="271" w:lineRule="auto"/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Decarbonisation </w:t>
      </w:r>
      <w:r>
        <w:rPr>
          <w:color w:val="151F34"/>
          <w:spacing w:val="-2"/>
        </w:rPr>
        <w:t>Roadmap</w:t>
      </w:r>
    </w:p>
    <w:p>
      <w:pPr>
        <w:pStyle w:val="Heading2"/>
        <w:spacing w:before="213"/>
      </w:pPr>
      <w:r>
        <w:rPr>
          <w:color w:val="168749"/>
        </w:rPr>
        <w:t>Immediate, medium-term and annual reduction </w:t>
      </w:r>
      <w:r>
        <w:rPr>
          <w:color w:val="168749"/>
          <w:spacing w:val="-2"/>
        </w:rPr>
        <w:t>actions.</w:t>
      </w:r>
    </w:p>
    <w:p>
      <w:pPr>
        <w:pStyle w:val="Heading3"/>
        <w:spacing w:line="302" w:lineRule="auto"/>
      </w:pPr>
      <w:r>
        <w:rPr>
          <w:color w:val="151F34"/>
        </w:rPr>
        <w:t>This page follows the natural disclosure structure for Australia.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 w:after="1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678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AASB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S2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/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AASB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S1,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NGER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Scheme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and Safeguard Mechanism readiness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193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4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Complete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client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data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pack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for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Decarbonisation </w:t>
            </w:r>
            <w:r>
              <w:rPr>
                <w:color w:val="151F34"/>
                <w:spacing w:val="-2"/>
                <w:sz w:val="17"/>
              </w:rPr>
              <w:t>Roadmap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1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p>
      <w:pPr>
        <w:pStyle w:val="BodyText"/>
        <w:spacing w:after="0" w:line="271" w:lineRule="auto"/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  <w:spacing w:val="-2"/>
        </w:rPr>
        <w:t>Appendix</w:t>
      </w:r>
    </w:p>
    <w:p>
      <w:pPr>
        <w:pStyle w:val="Heading2"/>
        <w:spacing w:before="213"/>
      </w:pPr>
      <w:r>
        <w:rPr>
          <w:color w:val="168749"/>
        </w:rPr>
        <w:t>Glossary, assumptions and data request </w:t>
      </w:r>
      <w:r>
        <w:rPr>
          <w:color w:val="168749"/>
          <w:spacing w:val="-2"/>
        </w:rPr>
        <w:t>list.</w:t>
      </w:r>
    </w:p>
    <w:p>
      <w:pPr>
        <w:pStyle w:val="Heading3"/>
        <w:spacing w:line="302" w:lineRule="auto"/>
      </w:pPr>
      <w:r>
        <w:rPr>
          <w:color w:val="151F34"/>
        </w:rPr>
        <w:t>This page follows the natural disclosure structure for Australia.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 w:after="1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678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AASB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S2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/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AASB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S1,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NGER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Scheme</w:t>
            </w:r>
            <w:r>
              <w:rPr>
                <w:color w:val="151F34"/>
                <w:spacing w:val="-6"/>
                <w:sz w:val="17"/>
              </w:rPr>
              <w:t> </w:t>
            </w:r>
            <w:r>
              <w:rPr>
                <w:color w:val="151F34"/>
                <w:sz w:val="17"/>
              </w:rPr>
              <w:t>and Safeguard Mechanism readiness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193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3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453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Complete client data pack for </w:t>
            </w:r>
            <w:r>
              <w:rPr>
                <w:color w:val="151F34"/>
                <w:spacing w:val="-2"/>
                <w:sz w:val="17"/>
              </w:rPr>
              <w:t>Appendix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2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sectPr>
      <w:pgSz w:w="11910" w:h="16840"/>
      <w:pgMar w:header="0" w:footer="512" w:top="1020" w:bottom="70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0576">
              <wp:simplePos x="0" y="0"/>
              <wp:positionH relativeFrom="page">
                <wp:posOffset>635299</wp:posOffset>
              </wp:positionH>
              <wp:positionV relativeFrom="page">
                <wp:posOffset>10221576</wp:posOffset>
              </wp:positionV>
              <wp:extent cx="3284220" cy="1460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284220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697285"/>
                            </w:rPr>
                            <w:t>Strictly Confidential. Powered by CarbonSynq Earth AI Data </w:t>
                          </w:r>
                          <w:r>
                            <w:rPr>
                              <w:color w:val="697285"/>
                              <w:spacing w:val="-2"/>
                            </w:rPr>
                            <w:t>Engine.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.023621pt;margin-top:804.848511pt;width:258.6pt;height:11.5pt;mso-position-horizontal-relative:page;mso-position-vertical-relative:page;z-index:-1631590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697285"/>
                      </w:rPr>
                      <w:t>Strictly Confidential. Powered by CarbonSynq Earth AI Data </w:t>
                    </w:r>
                    <w:r>
                      <w:rPr>
                        <w:color w:val="697285"/>
                        <w:spacing w:val="-2"/>
                      </w:rPr>
                      <w:t>Engine.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2624">
              <wp:simplePos x="0" y="0"/>
              <wp:positionH relativeFrom="page">
                <wp:posOffset>635299</wp:posOffset>
              </wp:positionH>
              <wp:positionV relativeFrom="page">
                <wp:posOffset>10227324</wp:posOffset>
              </wp:positionV>
              <wp:extent cx="3419475" cy="13906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34194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97285"/>
                              <w:sz w:val="16"/>
                            </w:rPr>
                            <w:t>AASB S2 / AASB S1, NGER Scheme and Safeguard Mechanism </w:t>
                          </w:r>
                          <w:r>
                            <w:rPr>
                              <w:color w:val="697285"/>
                              <w:spacing w:val="-2"/>
                              <w:sz w:val="16"/>
                            </w:rPr>
                            <w:t>readiness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621pt;margin-top:805.301147pt;width:269.25pt;height:10.95pt;mso-position-horizontal-relative:page;mso-position-vertical-relative:page;z-index:-16313856" type="#_x0000_t202" id="docshape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97285"/>
                        <w:sz w:val="16"/>
                      </w:rPr>
                      <w:t>AASB S2 / AASB S1, NGER Scheme and Safeguard Mechanism </w:t>
                    </w:r>
                    <w:r>
                      <w:rPr>
                        <w:color w:val="697285"/>
                        <w:spacing w:val="-2"/>
                        <w:sz w:val="16"/>
                      </w:rPr>
                      <w:t>readiness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3136">
              <wp:simplePos x="0" y="0"/>
              <wp:positionH relativeFrom="page">
                <wp:posOffset>6520840</wp:posOffset>
              </wp:positionH>
              <wp:positionV relativeFrom="page">
                <wp:posOffset>10227324</wp:posOffset>
              </wp:positionV>
              <wp:extent cx="442595" cy="13906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4425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97285"/>
                              <w:sz w:val="16"/>
                            </w:rPr>
                            <w:t>Page </w:t>
                          </w:r>
                          <w:r>
                            <w:rPr>
                              <w:color w:val="697285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97285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97285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97285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color w:val="697285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3.452026pt;margin-top:805.301147pt;width:34.85pt;height:10.95pt;mso-position-horizontal-relative:page;mso-position-vertical-relative:page;z-index:-16313344" type="#_x0000_t202" id="docshape1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97285"/>
                        <w:sz w:val="16"/>
                      </w:rPr>
                      <w:t>Page </w:t>
                    </w:r>
                    <w:r>
                      <w:rPr>
                        <w:color w:val="697285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97285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97285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97285"/>
                        <w:spacing w:val="-5"/>
                        <w:sz w:val="16"/>
                      </w:rPr>
                      <w:t>10</w:t>
                    </w:r>
                    <w:r>
                      <w:rPr>
                        <w:color w:val="697285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108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648335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7560309" cy="6483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648335">
                            <a:moveTo>
                              <a:pt x="7560000" y="0"/>
                            </a:moveTo>
                            <a:lnTo>
                              <a:pt x="0" y="0"/>
                            </a:lnTo>
                            <a:lnTo>
                              <a:pt x="0" y="647999"/>
                            </a:lnTo>
                            <a:lnTo>
                              <a:pt x="7560000" y="647999"/>
                            </a:lnTo>
                            <a:lnTo>
                              <a:pt x="7560000" y="0"/>
                            </a:lnTo>
                            <a:close/>
                          </a:path>
                        </a:pathLst>
                      </a:custGeom>
                      <a:solidFill>
                        <a:srgbClr val="16874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51pt;width:595.275600pt;height:51.02362pt;mso-position-horizontal-relative:page;mso-position-vertical-relative:page;z-index:-16315392" id="docshape6" filled="true" fillcolor="#168749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1600">
              <wp:simplePos x="0" y="0"/>
              <wp:positionH relativeFrom="page">
                <wp:posOffset>635299</wp:posOffset>
              </wp:positionH>
              <wp:positionV relativeFrom="page">
                <wp:posOffset>261827</wp:posOffset>
              </wp:positionV>
              <wp:extent cx="2312035" cy="15367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23120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z w:val="18"/>
                            </w:rPr>
                            <w:t>CarbonSynq Earth | Australia Demo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18"/>
                            </w:rPr>
                            <w:t>Client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621pt;margin-top:20.616310pt;width:182.05pt;height:12.1pt;mso-position-horizontal-relative:page;mso-position-vertical-relative:page;z-index:-16314880" type="#_x0000_t202" id="docshape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18"/>
                      </w:rPr>
                      <w:t>CarbonSynq Earth | Australia Demo 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18"/>
                      </w:rPr>
                      <w:t>Client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2112">
              <wp:simplePos x="0" y="0"/>
              <wp:positionH relativeFrom="page">
                <wp:posOffset>4547609</wp:posOffset>
              </wp:positionH>
              <wp:positionV relativeFrom="page">
                <wp:posOffset>267575</wp:posOffset>
              </wp:positionV>
              <wp:extent cx="2377440" cy="14605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2377440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FFFFFF"/>
                            </w:rPr>
                            <w:t>Australia Climate and Energy Compliance </w:t>
                          </w:r>
                          <w:r>
                            <w:rPr>
                              <w:color w:val="FFFFFF"/>
                              <w:spacing w:val="-2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8.079498pt;margin-top:21.068947pt;width:187.2pt;height:11.5pt;mso-position-horizontal-relative:page;mso-position-vertical-relative:page;z-index:-16314368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FFFFFF"/>
                      </w:rPr>
                      <w:t>Australia Climate and Energy Compliance </w:t>
                    </w:r>
                    <w:r>
                      <w:rPr>
                        <w:color w:val="FFFFFF"/>
                        <w:spacing w:val="-2"/>
                      </w:rPr>
                      <w:t>Report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748" w:hanging="18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151F34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56" w:hanging="1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73" w:hanging="1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89" w:hanging="1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06" w:hanging="1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22" w:hanging="1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39" w:hanging="1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55" w:hanging="1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72" w:hanging="18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748" w:hanging="18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151F34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56" w:hanging="1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73" w:hanging="1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89" w:hanging="1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06" w:hanging="1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22" w:hanging="1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39" w:hanging="1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55" w:hanging="1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72" w:hanging="189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40"/>
      <w:outlineLvl w:val="1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40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57"/>
      <w:ind w:left="1140" w:right="1471"/>
      <w:outlineLvl w:val="3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140"/>
    </w:pPr>
    <w:rPr>
      <w:rFonts w:ascii="Arial" w:hAnsi="Arial" w:eastAsia="Arial" w:cs="Arial"/>
      <w:b/>
      <w:bCs/>
      <w:sz w:val="58"/>
      <w:szCs w:val="5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748" w:hanging="18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5"/>
      <w:ind w:left="16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2026-07-10T13:08:53Z</dcterms:created>
  <dcterms:modified xsi:type="dcterms:W3CDTF">2026-07-10T13:08:53Z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2026-07-10T00:00:00Z</vt:filetime>
  </property>
  <property fmtid="{D5CDD505-2E9C-101B-9397-08002B2CF9AE}" pid="6" name="Producer">
    <vt:lpwstr>ReportLab PDF Library - (opensource)</vt:lpwstr>
  </property>
</Properties>
</file>