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8"/>
        </w:rPr>
      </w:pPr>
      <w:r>
        <w:rPr>
          <w:rFonts w:ascii="Times New Roman"/>
          <w:sz w:val="5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98056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0309" cy="1980564"/>
                          <a:chExt cx="7560309" cy="198056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980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980564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9999"/>
                                </a:lnTo>
                                <a:lnTo>
                                  <a:pt x="7560000" y="19799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87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60309" cy="19805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76"/>
                                <w:rPr>
                                  <w:sz w:val="6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20" w:right="0" w:firstLine="0"/>
                                <w:jc w:val="left"/>
                                <w:rPr>
                                  <w:rFonts w:ascii="Arial"/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62"/>
                                </w:rPr>
                                <w:t>CarbonSynq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62"/>
                                </w:rPr>
                                <w:t>Earth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9pt;width:595.3pt;height:155.950pt;mso-position-horizontal-relative:page;mso-position-vertical-relative:page;z-index:15729152" id="docshapegroup2" coordorigin="0,0" coordsize="11906,3119">
                <v:rect style="position:absolute;left:0;top:0;width:11906;height:3119" id="docshape3" filled="true" fillcolor="#168749" stroked="false">
                  <v:fill type="solid"/>
                </v:rect>
                <v:shape style="position:absolute;left:0;top:0;width:11906;height:3119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576"/>
                          <w:rPr>
                            <w:sz w:val="62"/>
                          </w:rPr>
                        </w:pPr>
                      </w:p>
                      <w:p>
                        <w:pPr>
                          <w:spacing w:before="0"/>
                          <w:ind w:left="1020" w:right="0" w:firstLine="0"/>
                          <w:jc w:val="left"/>
                          <w:rPr>
                            <w:rFonts w:ascii="Arial"/>
                            <w:b/>
                            <w:sz w:val="6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62"/>
                          </w:rPr>
                          <w:t>CarbonSynq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62"/>
                          </w:rPr>
                          <w:t>Earth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rPr>
          <w:rFonts w:ascii="Times New Roman"/>
          <w:sz w:val="58"/>
        </w:rPr>
      </w:pPr>
    </w:p>
    <w:p>
      <w:pPr>
        <w:pStyle w:val="BodyText"/>
        <w:spacing w:before="485"/>
        <w:rPr>
          <w:rFonts w:ascii="Times New Roman"/>
          <w:sz w:val="58"/>
        </w:rPr>
      </w:pPr>
    </w:p>
    <w:p>
      <w:pPr>
        <w:pStyle w:val="Title"/>
        <w:spacing w:line="244" w:lineRule="auto"/>
      </w:pPr>
      <w:r>
        <w:rPr>
          <w:color w:val="151F34"/>
        </w:rPr>
        <w:t>France</w:t>
      </w:r>
      <w:r>
        <w:rPr>
          <w:color w:val="151F34"/>
          <w:spacing w:val="-9"/>
        </w:rPr>
        <w:t> </w:t>
      </w:r>
      <w:r>
        <w:rPr>
          <w:color w:val="151F34"/>
        </w:rPr>
        <w:t>CSRD</w:t>
      </w:r>
      <w:r>
        <w:rPr>
          <w:color w:val="151F34"/>
          <w:spacing w:val="-9"/>
        </w:rPr>
        <w:t> </w:t>
      </w:r>
      <w:r>
        <w:rPr>
          <w:color w:val="151F34"/>
        </w:rPr>
        <w:t>and</w:t>
      </w:r>
      <w:r>
        <w:rPr>
          <w:color w:val="151F34"/>
          <w:spacing w:val="-9"/>
        </w:rPr>
        <w:t> </w:t>
      </w:r>
      <w:r>
        <w:rPr>
          <w:color w:val="151F34"/>
        </w:rPr>
        <w:t>Bilan</w:t>
      </w:r>
      <w:r>
        <w:rPr>
          <w:color w:val="151F34"/>
          <w:spacing w:val="-9"/>
        </w:rPr>
        <w:t> </w:t>
      </w:r>
      <w:r>
        <w:rPr>
          <w:color w:val="151F34"/>
        </w:rPr>
        <w:t>GES Climate Report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2520000</wp:posOffset>
                </wp:positionH>
                <wp:positionV relativeFrom="paragraph">
                  <wp:posOffset>190947</wp:posOffset>
                </wp:positionV>
                <wp:extent cx="2520315" cy="793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20315" cy="7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 h="79375">
                              <a:moveTo>
                                <a:pt x="2520000" y="0"/>
                              </a:moveTo>
                              <a:lnTo>
                                <a:pt x="0" y="0"/>
                              </a:lnTo>
                              <a:lnTo>
                                <a:pt x="0" y="79199"/>
                              </a:lnTo>
                              <a:lnTo>
                                <a:pt x="2520000" y="79199"/>
                              </a:lnTo>
                              <a:lnTo>
                                <a:pt x="252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87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8.425201pt;margin-top:15.035222pt;width:198.4252pt;height:6.23622pt;mso-position-horizontal-relative:page;mso-position-vertical-relative:paragraph;z-index:-15728640;mso-wrap-distance-left:0;mso-wrap-distance-right:0" id="docshape5" filled="true" fillcolor="#16874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1"/>
        <w:rPr>
          <w:rFonts w:ascii="Arial"/>
          <w:b/>
        </w:rPr>
      </w:pPr>
    </w:p>
    <w:p>
      <w:pPr>
        <w:pStyle w:val="BodyText"/>
        <w:ind w:left="1140"/>
      </w:pPr>
      <w:r>
        <w:rPr>
          <w:color w:val="697285"/>
          <w:spacing w:val="-2"/>
        </w:rPr>
        <w:t>Prepared</w:t>
      </w:r>
      <w:r>
        <w:rPr>
          <w:color w:val="697285"/>
          <w:spacing w:val="1"/>
        </w:rPr>
        <w:t> </w:t>
      </w:r>
      <w:r>
        <w:rPr>
          <w:color w:val="697285"/>
          <w:spacing w:val="-4"/>
        </w:rPr>
        <w:t>for:</w:t>
      </w:r>
    </w:p>
    <w:p>
      <w:pPr>
        <w:pStyle w:val="Heading3"/>
        <w:spacing w:before="33"/>
        <w:ind w:right="0"/>
      </w:pPr>
      <w:r>
        <w:rPr>
          <w:color w:val="151F34"/>
        </w:rPr>
        <w:t>CarbonSynq</w:t>
      </w:r>
      <w:r>
        <w:rPr>
          <w:color w:val="151F34"/>
          <w:spacing w:val="14"/>
        </w:rPr>
        <w:t> </w:t>
      </w:r>
      <w:r>
        <w:rPr>
          <w:color w:val="151F34"/>
        </w:rPr>
        <w:t>Earth</w:t>
      </w:r>
      <w:r>
        <w:rPr>
          <w:color w:val="151F34"/>
          <w:spacing w:val="15"/>
        </w:rPr>
        <w:t> </w:t>
      </w:r>
      <w:r>
        <w:rPr>
          <w:color w:val="151F34"/>
        </w:rPr>
        <w:t>France</w:t>
      </w:r>
      <w:r>
        <w:rPr>
          <w:color w:val="151F34"/>
          <w:spacing w:val="15"/>
        </w:rPr>
        <w:t> </w:t>
      </w:r>
      <w:r>
        <w:rPr>
          <w:color w:val="151F34"/>
        </w:rPr>
        <w:t>Demo</w:t>
      </w:r>
      <w:r>
        <w:rPr>
          <w:color w:val="151F34"/>
          <w:spacing w:val="14"/>
        </w:rPr>
        <w:t> </w:t>
      </w:r>
      <w:r>
        <w:rPr>
          <w:color w:val="151F34"/>
          <w:spacing w:val="-2"/>
        </w:rPr>
        <w:t>Client</w:t>
      </w:r>
    </w:p>
    <w:p>
      <w:pPr>
        <w:pStyle w:val="BodyText"/>
        <w:spacing w:before="172"/>
        <w:ind w:left="1140"/>
      </w:pPr>
      <w:r>
        <w:rPr>
          <w:color w:val="697285"/>
          <w:spacing w:val="-2"/>
        </w:rPr>
        <w:t>Reporting</w:t>
      </w:r>
      <w:r>
        <w:rPr>
          <w:color w:val="697285"/>
          <w:spacing w:val="2"/>
        </w:rPr>
        <w:t> </w:t>
      </w:r>
      <w:r>
        <w:rPr>
          <w:color w:val="697285"/>
          <w:spacing w:val="-2"/>
        </w:rPr>
        <w:t>Method:</w:t>
      </w:r>
    </w:p>
    <w:p>
      <w:pPr>
        <w:pStyle w:val="Heading3"/>
        <w:spacing w:before="32"/>
        <w:ind w:right="0"/>
      </w:pPr>
      <w:r>
        <w:rPr>
          <w:color w:val="151F34"/>
        </w:rPr>
        <w:t>CSRD</w:t>
      </w:r>
      <w:r>
        <w:rPr>
          <w:color w:val="151F34"/>
          <w:spacing w:val="9"/>
        </w:rPr>
        <w:t> </w:t>
      </w:r>
      <w:r>
        <w:rPr>
          <w:color w:val="151F34"/>
        </w:rPr>
        <w:t>/</w:t>
      </w:r>
      <w:r>
        <w:rPr>
          <w:color w:val="151F34"/>
          <w:spacing w:val="10"/>
        </w:rPr>
        <w:t> </w:t>
      </w:r>
      <w:r>
        <w:rPr>
          <w:color w:val="151F34"/>
        </w:rPr>
        <w:t>ESRS</w:t>
      </w:r>
      <w:r>
        <w:rPr>
          <w:color w:val="151F34"/>
          <w:spacing w:val="9"/>
        </w:rPr>
        <w:t> </w:t>
      </w:r>
      <w:r>
        <w:rPr>
          <w:color w:val="151F34"/>
        </w:rPr>
        <w:t>E1,</w:t>
      </w:r>
      <w:r>
        <w:rPr>
          <w:color w:val="151F34"/>
          <w:spacing w:val="10"/>
        </w:rPr>
        <w:t> </w:t>
      </w:r>
      <w:r>
        <w:rPr>
          <w:color w:val="151F34"/>
        </w:rPr>
        <w:t>Bilan</w:t>
      </w:r>
      <w:r>
        <w:rPr>
          <w:color w:val="151F34"/>
          <w:spacing w:val="10"/>
        </w:rPr>
        <w:t> </w:t>
      </w:r>
      <w:r>
        <w:rPr>
          <w:color w:val="151F34"/>
        </w:rPr>
        <w:t>GES</w:t>
      </w:r>
      <w:r>
        <w:rPr>
          <w:color w:val="151F34"/>
          <w:spacing w:val="9"/>
        </w:rPr>
        <w:t> </w:t>
      </w:r>
      <w:r>
        <w:rPr>
          <w:color w:val="151F34"/>
        </w:rPr>
        <w:t>and</w:t>
      </w:r>
      <w:r>
        <w:rPr>
          <w:color w:val="151F34"/>
          <w:spacing w:val="10"/>
        </w:rPr>
        <w:t> </w:t>
      </w:r>
      <w:r>
        <w:rPr>
          <w:color w:val="151F34"/>
        </w:rPr>
        <w:t>EU</w:t>
      </w:r>
      <w:r>
        <w:rPr>
          <w:color w:val="151F34"/>
          <w:spacing w:val="9"/>
        </w:rPr>
        <w:t> </w:t>
      </w:r>
      <w:r>
        <w:rPr>
          <w:color w:val="151F34"/>
        </w:rPr>
        <w:t>Taxonomy</w:t>
      </w:r>
      <w:r>
        <w:rPr>
          <w:color w:val="151F34"/>
          <w:spacing w:val="10"/>
        </w:rPr>
        <w:t> </w:t>
      </w:r>
      <w:r>
        <w:rPr>
          <w:color w:val="151F34"/>
          <w:spacing w:val="-2"/>
        </w:rPr>
        <w:t>readiness</w:t>
      </w:r>
    </w:p>
    <w:p>
      <w:pPr>
        <w:pStyle w:val="BodyText"/>
        <w:spacing w:before="172"/>
        <w:ind w:left="1140"/>
      </w:pPr>
      <w:r>
        <w:rPr>
          <w:color w:val="697285"/>
          <w:spacing w:val="-2"/>
        </w:rPr>
        <w:t>Generated</w:t>
      </w:r>
      <w:r>
        <w:rPr>
          <w:color w:val="697285"/>
        </w:rPr>
        <w:t> </w:t>
      </w:r>
      <w:r>
        <w:rPr>
          <w:color w:val="697285"/>
          <w:spacing w:val="-5"/>
        </w:rPr>
        <w:t>on:</w:t>
      </w:r>
    </w:p>
    <w:p>
      <w:pPr>
        <w:spacing w:before="33"/>
        <w:ind w:left="1140" w:right="0" w:firstLine="0"/>
        <w:jc w:val="left"/>
        <w:rPr>
          <w:sz w:val="20"/>
        </w:rPr>
      </w:pPr>
      <w:r>
        <w:rPr>
          <w:color w:val="151F34"/>
          <w:sz w:val="20"/>
        </w:rPr>
        <w:t>10</w:t>
      </w:r>
      <w:r>
        <w:rPr>
          <w:color w:val="151F34"/>
          <w:spacing w:val="6"/>
          <w:sz w:val="20"/>
        </w:rPr>
        <w:t> </w:t>
      </w:r>
      <w:r>
        <w:rPr>
          <w:color w:val="151F34"/>
          <w:sz w:val="20"/>
        </w:rPr>
        <w:t>July</w:t>
      </w:r>
      <w:r>
        <w:rPr>
          <w:color w:val="151F34"/>
          <w:spacing w:val="7"/>
          <w:sz w:val="20"/>
        </w:rPr>
        <w:t> </w:t>
      </w:r>
      <w:r>
        <w:rPr>
          <w:color w:val="151F34"/>
          <w:spacing w:val="-4"/>
          <w:sz w:val="20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p>
      <w:pPr>
        <w:pStyle w:val="Heading2"/>
      </w:pPr>
      <w:r>
        <w:rPr>
          <w:color w:val="168749"/>
        </w:rPr>
        <w:t>Table of </w:t>
      </w:r>
      <w:r>
        <w:rPr>
          <w:color w:val="168749"/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92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Synthese </w:t>
      </w:r>
      <w:r>
        <w:rPr>
          <w:color w:val="151F34"/>
          <w:spacing w:val="-2"/>
          <w:sz w:val="17"/>
        </w:rPr>
        <w:t>Executive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3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Reporting </w:t>
      </w:r>
      <w:r>
        <w:rPr>
          <w:color w:val="151F34"/>
          <w:spacing w:val="-2"/>
          <w:sz w:val="17"/>
        </w:rPr>
        <w:t>Basis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4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9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Double </w:t>
      </w:r>
      <w:r>
        <w:rPr>
          <w:color w:val="151F34"/>
          <w:spacing w:val="-2"/>
          <w:sz w:val="17"/>
        </w:rPr>
        <w:t>Materiality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5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Governance </w:t>
      </w:r>
      <w:r>
        <w:rPr>
          <w:color w:val="151F34"/>
          <w:spacing w:val="-2"/>
          <w:sz w:val="17"/>
        </w:rPr>
        <w:t>Disclosures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6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9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Strategy and Business </w:t>
      </w:r>
      <w:r>
        <w:rPr>
          <w:color w:val="151F34"/>
          <w:spacing w:val="-2"/>
          <w:sz w:val="17"/>
        </w:rPr>
        <w:t>Model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7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IRO </w:t>
      </w:r>
      <w:r>
        <w:rPr>
          <w:color w:val="151F34"/>
          <w:spacing w:val="-2"/>
          <w:sz w:val="17"/>
        </w:rPr>
        <w:t>Register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8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9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Policies and </w:t>
      </w:r>
      <w:r>
        <w:rPr>
          <w:color w:val="151F34"/>
          <w:spacing w:val="-2"/>
          <w:sz w:val="17"/>
        </w:rPr>
        <w:t>Actions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9</w:t>
      </w:r>
    </w:p>
    <w:p>
      <w:pPr>
        <w:pStyle w:val="ListParagraph"/>
        <w:numPr>
          <w:ilvl w:val="0"/>
          <w:numId w:val="1"/>
        </w:numPr>
        <w:tabs>
          <w:tab w:pos="1748" w:val="left" w:leader="none"/>
          <w:tab w:pos="8929" w:val="left" w:leader="none"/>
        </w:tabs>
        <w:spacing w:line="240" w:lineRule="auto" w:before="138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Metrics and </w:t>
      </w:r>
      <w:r>
        <w:rPr>
          <w:color w:val="151F34"/>
          <w:spacing w:val="-2"/>
          <w:sz w:val="17"/>
        </w:rPr>
        <w:t>Targets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10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footerReference w:type="default" r:id="rId5"/>
          <w:type w:val="continuous"/>
          <w:pgSz w:w="11910" w:h="16840"/>
          <w:pgMar w:header="0" w:footer="521" w:top="0" w:bottom="720" w:left="0" w:right="0"/>
          <w:pgNumType w:start="1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Table of </w:t>
      </w:r>
      <w:r>
        <w:rPr>
          <w:color w:val="151F34"/>
          <w:spacing w:val="-2"/>
        </w:rPr>
        <w:t>Contents</w:t>
      </w:r>
    </w:p>
    <w:p>
      <w:pPr>
        <w:pStyle w:val="Heading2"/>
        <w:spacing w:before="213"/>
      </w:pPr>
      <w:r>
        <w:rPr>
          <w:color w:val="168749"/>
        </w:rPr>
        <w:t>Complete section list for the </w:t>
      </w:r>
      <w:r>
        <w:rPr>
          <w:color w:val="168749"/>
          <w:spacing w:val="-2"/>
        </w:rPr>
        <w:t>report.</w:t>
      </w: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231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Synthese </w:t>
      </w:r>
      <w:r>
        <w:rPr>
          <w:color w:val="151F34"/>
          <w:spacing w:val="-2"/>
          <w:sz w:val="17"/>
        </w:rPr>
        <w:t>Executive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3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Reporting </w:t>
      </w:r>
      <w:r>
        <w:rPr>
          <w:color w:val="151F34"/>
          <w:spacing w:val="-2"/>
          <w:sz w:val="17"/>
        </w:rPr>
        <w:t>Basis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4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Double </w:t>
      </w:r>
      <w:r>
        <w:rPr>
          <w:color w:val="151F34"/>
          <w:spacing w:val="-2"/>
          <w:sz w:val="17"/>
        </w:rPr>
        <w:t>Materiality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5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Governance </w:t>
      </w:r>
      <w:r>
        <w:rPr>
          <w:color w:val="151F34"/>
          <w:spacing w:val="-2"/>
          <w:sz w:val="17"/>
        </w:rPr>
        <w:t>Disclosures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6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Strategy and Business </w:t>
      </w:r>
      <w:r>
        <w:rPr>
          <w:color w:val="151F34"/>
          <w:spacing w:val="-2"/>
          <w:sz w:val="17"/>
        </w:rPr>
        <w:t>Model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7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IRO </w:t>
      </w:r>
      <w:r>
        <w:rPr>
          <w:color w:val="151F34"/>
          <w:spacing w:val="-2"/>
          <w:sz w:val="17"/>
        </w:rPr>
        <w:t>Register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8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0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Policies and </w:t>
      </w:r>
      <w:r>
        <w:rPr>
          <w:color w:val="151F34"/>
          <w:spacing w:val="-2"/>
          <w:sz w:val="17"/>
        </w:rPr>
        <w:t>Actions</w:t>
      </w:r>
      <w:r>
        <w:rPr>
          <w:color w:val="151F34"/>
          <w:sz w:val="17"/>
        </w:rPr>
        <w:tab/>
        <w:t>Page </w:t>
      </w:r>
      <w:r>
        <w:rPr>
          <w:color w:val="151F34"/>
          <w:spacing w:val="-10"/>
          <w:sz w:val="17"/>
        </w:rPr>
        <w:t>9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1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Metrics and </w:t>
      </w:r>
      <w:r>
        <w:rPr>
          <w:color w:val="151F34"/>
          <w:spacing w:val="-2"/>
          <w:sz w:val="17"/>
        </w:rPr>
        <w:t>Targets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10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748" w:val="left" w:leader="none"/>
          <w:tab w:pos="8929" w:val="left" w:leader="none"/>
        </w:tabs>
        <w:spacing w:line="240" w:lineRule="auto" w:before="1" w:after="0"/>
        <w:ind w:left="1748" w:right="0" w:hanging="189"/>
        <w:jc w:val="left"/>
        <w:rPr>
          <w:sz w:val="17"/>
        </w:rPr>
      </w:pPr>
      <w:r>
        <w:rPr>
          <w:color w:val="151F34"/>
          <w:sz w:val="17"/>
        </w:rPr>
        <w:t>Bilan GES </w:t>
      </w:r>
      <w:r>
        <w:rPr>
          <w:color w:val="151F34"/>
          <w:spacing w:val="-2"/>
          <w:sz w:val="17"/>
        </w:rPr>
        <w:t>Inventory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11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EU Taxonomy </w:t>
      </w:r>
      <w:r>
        <w:rPr>
          <w:color w:val="151F34"/>
          <w:spacing w:val="-2"/>
          <w:sz w:val="17"/>
        </w:rPr>
        <w:t>Readiness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12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Controls and </w:t>
      </w:r>
      <w:r>
        <w:rPr>
          <w:color w:val="151F34"/>
          <w:spacing w:val="-2"/>
          <w:sz w:val="17"/>
        </w:rPr>
        <w:t>Assurance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13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Evidence </w:t>
      </w:r>
      <w:r>
        <w:rPr>
          <w:color w:val="151F34"/>
          <w:spacing w:val="-2"/>
          <w:sz w:val="17"/>
        </w:rPr>
        <w:t>Register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14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1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Transition </w:t>
      </w:r>
      <w:r>
        <w:rPr>
          <w:color w:val="151F34"/>
          <w:spacing w:val="-4"/>
          <w:sz w:val="17"/>
        </w:rPr>
        <w:t>Plan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15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0" w:after="0"/>
        <w:ind w:left="1842" w:right="0" w:hanging="283"/>
        <w:jc w:val="left"/>
        <w:rPr>
          <w:sz w:val="17"/>
        </w:rPr>
      </w:pPr>
      <w:r>
        <w:rPr>
          <w:color w:val="151F34"/>
          <w:sz w:val="17"/>
        </w:rPr>
        <w:t>Compliance </w:t>
      </w:r>
      <w:r>
        <w:rPr>
          <w:color w:val="151F34"/>
          <w:spacing w:val="-2"/>
          <w:sz w:val="17"/>
        </w:rPr>
        <w:t>Checklist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16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842" w:val="left" w:leader="none"/>
          <w:tab w:pos="8929" w:val="left" w:leader="none"/>
        </w:tabs>
        <w:spacing w:line="240" w:lineRule="auto" w:before="0" w:after="0"/>
        <w:ind w:left="1842" w:right="0" w:hanging="283"/>
        <w:jc w:val="left"/>
        <w:rPr>
          <w:sz w:val="17"/>
        </w:rPr>
      </w:pPr>
      <w:r>
        <w:rPr>
          <w:color w:val="151F34"/>
          <w:spacing w:val="-2"/>
          <w:sz w:val="17"/>
        </w:rPr>
        <w:t>Appendix</w:t>
      </w:r>
      <w:r>
        <w:rPr>
          <w:color w:val="151F34"/>
          <w:sz w:val="17"/>
        </w:rPr>
        <w:tab/>
        <w:t>Page </w:t>
      </w:r>
      <w:r>
        <w:rPr>
          <w:color w:val="151F34"/>
          <w:spacing w:val="-5"/>
          <w:sz w:val="17"/>
        </w:rPr>
        <w:t>17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headerReference w:type="default" r:id="rId6"/>
          <w:footerReference w:type="default" r:id="rId7"/>
          <w:pgSz w:w="11910" w:h="16840"/>
          <w:pgMar w:header="0" w:footer="512" w:top="1020" w:bottom="700" w:left="0" w:right="0"/>
          <w:pgNumType w:start="2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Synthese </w:t>
      </w:r>
      <w:r>
        <w:rPr>
          <w:color w:val="151F34"/>
          <w:spacing w:val="-2"/>
        </w:rPr>
        <w:t>Executive</w:t>
      </w:r>
    </w:p>
    <w:p>
      <w:pPr>
        <w:pStyle w:val="Heading2"/>
        <w:spacing w:before="213"/>
      </w:pPr>
      <w:r>
        <w:rPr>
          <w:color w:val="168749"/>
        </w:rPr>
        <w:t>Management summary for French sustainability and climate </w:t>
      </w:r>
      <w:r>
        <w:rPr>
          <w:color w:val="168749"/>
          <w:spacing w:val="-2"/>
        </w:rPr>
        <w:t>reporting.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Synthese </w:t>
            </w:r>
            <w:r>
              <w:rPr>
                <w:color w:val="151F34"/>
                <w:spacing w:val="-2"/>
                <w:sz w:val="17"/>
              </w:rPr>
              <w:t>Executive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Reporting </w:t>
      </w:r>
      <w:r>
        <w:rPr>
          <w:color w:val="151F34"/>
          <w:spacing w:val="-2"/>
        </w:rPr>
        <w:t>Basis</w:t>
      </w:r>
    </w:p>
    <w:p>
      <w:pPr>
        <w:pStyle w:val="Heading2"/>
        <w:spacing w:before="213"/>
      </w:pPr>
      <w:r>
        <w:rPr>
          <w:color w:val="168749"/>
        </w:rPr>
        <w:t>CSRD, ESRS 1, ESRS 2, ESRS E1 and Bilan GES </w:t>
      </w:r>
      <w:r>
        <w:rPr>
          <w:color w:val="168749"/>
          <w:spacing w:val="-2"/>
        </w:rPr>
        <w:t>framing.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Reporting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Double </w:t>
      </w:r>
      <w:r>
        <w:rPr>
          <w:color w:val="151F34"/>
          <w:spacing w:val="-2"/>
        </w:rPr>
        <w:t>Materiality</w:t>
      </w:r>
    </w:p>
    <w:p>
      <w:pPr>
        <w:pStyle w:val="Heading2"/>
        <w:spacing w:before="213"/>
      </w:pPr>
      <w:r>
        <w:rPr>
          <w:color w:val="168749"/>
        </w:rPr>
        <w:t>Impact materiality, financial materiality and stakeholder </w:t>
      </w:r>
      <w:r>
        <w:rPr>
          <w:color w:val="168749"/>
          <w:spacing w:val="-2"/>
        </w:rPr>
        <w:t>evidence.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Double </w:t>
            </w:r>
            <w:r>
              <w:rPr>
                <w:color w:val="151F34"/>
                <w:spacing w:val="-2"/>
                <w:sz w:val="17"/>
              </w:rPr>
              <w:t>Materiality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Governance </w:t>
      </w:r>
      <w:r>
        <w:rPr>
          <w:color w:val="151F34"/>
          <w:spacing w:val="-2"/>
        </w:rPr>
        <w:t>Disclosures</w:t>
      </w:r>
    </w:p>
    <w:p>
      <w:pPr>
        <w:pStyle w:val="Heading2"/>
        <w:spacing w:before="213"/>
      </w:pPr>
      <w:r>
        <w:rPr>
          <w:color w:val="168749"/>
        </w:rPr>
        <w:t>Administrative, management and supervisory climate </w:t>
      </w:r>
      <w:r>
        <w:rPr>
          <w:color w:val="168749"/>
          <w:spacing w:val="-2"/>
        </w:rPr>
        <w:t>oversight.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Governance </w:t>
            </w:r>
            <w:r>
              <w:rPr>
                <w:color w:val="151F34"/>
                <w:spacing w:val="-2"/>
                <w:sz w:val="17"/>
              </w:rPr>
              <w:t>Disclosures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Strategy and Business </w:t>
      </w:r>
      <w:r>
        <w:rPr>
          <w:color w:val="151F34"/>
          <w:spacing w:val="-2"/>
        </w:rPr>
        <w:t>Model</w:t>
      </w:r>
    </w:p>
    <w:p>
      <w:pPr>
        <w:pStyle w:val="Heading2"/>
        <w:spacing w:before="213"/>
      </w:pPr>
      <w:r>
        <w:rPr>
          <w:color w:val="168749"/>
        </w:rPr>
        <w:t>Climate resilience, value chain and transition </w:t>
      </w:r>
      <w:r>
        <w:rPr>
          <w:color w:val="168749"/>
          <w:spacing w:val="-2"/>
        </w:rPr>
        <w:t>exposure.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Strategy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Business Model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IRO </w:t>
      </w:r>
      <w:r>
        <w:rPr>
          <w:color w:val="151F34"/>
          <w:spacing w:val="-2"/>
        </w:rPr>
        <w:t>Register</w:t>
      </w:r>
    </w:p>
    <w:p>
      <w:pPr>
        <w:pStyle w:val="Heading2"/>
        <w:spacing w:before="213"/>
      </w:pPr>
      <w:r>
        <w:rPr>
          <w:color w:val="168749"/>
        </w:rPr>
        <w:t>Impacts, risks and opportunities linked to climate </w:t>
      </w:r>
      <w:r>
        <w:rPr>
          <w:color w:val="168749"/>
          <w:spacing w:val="-2"/>
        </w:rPr>
        <w:t>change.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IRO </w:t>
            </w:r>
            <w:r>
              <w:rPr>
                <w:color w:val="151F34"/>
                <w:spacing w:val="-2"/>
                <w:sz w:val="17"/>
              </w:rPr>
              <w:t>Register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Policies and </w:t>
      </w:r>
      <w:r>
        <w:rPr>
          <w:color w:val="151F34"/>
          <w:spacing w:val="-2"/>
        </w:rPr>
        <w:t>Actions</w:t>
      </w:r>
    </w:p>
    <w:p>
      <w:pPr>
        <w:pStyle w:val="Heading2"/>
        <w:spacing w:before="213"/>
      </w:pPr>
      <w:r>
        <w:rPr>
          <w:color w:val="168749"/>
        </w:rPr>
        <w:t>Climate policies, resources, responsibilities and action </w:t>
      </w:r>
      <w:r>
        <w:rPr>
          <w:color w:val="168749"/>
          <w:spacing w:val="-2"/>
        </w:rPr>
        <w:t>plans.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Policies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</w:t>
            </w:r>
            <w:r>
              <w:rPr>
                <w:color w:val="151F34"/>
                <w:spacing w:val="-2"/>
                <w:sz w:val="17"/>
              </w:rPr>
              <w:t>Actions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Metrics and </w:t>
      </w:r>
      <w:r>
        <w:rPr>
          <w:color w:val="151F34"/>
          <w:spacing w:val="-2"/>
        </w:rPr>
        <w:t>Targets</w:t>
      </w:r>
    </w:p>
    <w:p>
      <w:pPr>
        <w:pStyle w:val="Heading2"/>
        <w:spacing w:before="213"/>
      </w:pPr>
      <w:r>
        <w:rPr>
          <w:color w:val="168749"/>
        </w:rPr>
        <w:t>Energy consumption, Scope 1, Scope 2, Scope 3 and </w:t>
      </w:r>
      <w:r>
        <w:rPr>
          <w:color w:val="168749"/>
          <w:spacing w:val="-2"/>
        </w:rPr>
        <w:t>targets.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Metrics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</w:t>
            </w:r>
            <w:r>
              <w:rPr>
                <w:color w:val="151F34"/>
                <w:spacing w:val="-2"/>
                <w:sz w:val="17"/>
              </w:rPr>
              <w:t>Targets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Bilan GES </w:t>
      </w:r>
      <w:r>
        <w:rPr>
          <w:color w:val="151F34"/>
          <w:spacing w:val="-2"/>
        </w:rPr>
        <w:t>Inventory</w:t>
      </w:r>
    </w:p>
    <w:p>
      <w:pPr>
        <w:pStyle w:val="Heading2"/>
        <w:spacing w:before="213"/>
      </w:pPr>
      <w:r>
        <w:rPr>
          <w:color w:val="168749"/>
        </w:rPr>
        <w:t>Greenhouse gas inventory boundary, categories and calculation </w:t>
      </w:r>
      <w:r>
        <w:rPr>
          <w:color w:val="168749"/>
          <w:spacing w:val="-2"/>
        </w:rPr>
        <w:t>basis.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GES </w:t>
            </w:r>
            <w:r>
              <w:rPr>
                <w:color w:val="151F34"/>
                <w:spacing w:val="-2"/>
                <w:sz w:val="17"/>
              </w:rPr>
              <w:t>Inventory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EU Taxonomy </w:t>
      </w:r>
      <w:r>
        <w:rPr>
          <w:color w:val="151F34"/>
          <w:spacing w:val="-2"/>
        </w:rPr>
        <w:t>Readiness</w:t>
      </w:r>
    </w:p>
    <w:p>
      <w:pPr>
        <w:pStyle w:val="Heading2"/>
        <w:spacing w:before="213"/>
      </w:pPr>
      <w:r>
        <w:rPr>
          <w:color w:val="168749"/>
        </w:rPr>
        <w:t>Climate mitigation/adaptation eligibility and evidence </w:t>
      </w:r>
      <w:r>
        <w:rPr>
          <w:color w:val="168749"/>
          <w:spacing w:val="-2"/>
        </w:rPr>
        <w:t>notes.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Controls and </w:t>
      </w:r>
      <w:r>
        <w:rPr>
          <w:color w:val="151F34"/>
          <w:spacing w:val="-2"/>
        </w:rPr>
        <w:t>Assurance</w:t>
      </w:r>
    </w:p>
    <w:p>
      <w:pPr>
        <w:pStyle w:val="Heading2"/>
        <w:spacing w:before="213"/>
      </w:pPr>
      <w:r>
        <w:rPr>
          <w:color w:val="168749"/>
        </w:rPr>
        <w:t>Data ownership, review controls and limited-assurance </w:t>
      </w:r>
      <w:r>
        <w:rPr>
          <w:color w:val="168749"/>
          <w:spacing w:val="-2"/>
        </w:rPr>
        <w:t>readiness.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Controls</w:t>
            </w:r>
            <w:r>
              <w:rPr>
                <w:color w:val="151F34"/>
                <w:spacing w:val="-7"/>
                <w:sz w:val="17"/>
              </w:rPr>
              <w:t> </w:t>
            </w:r>
            <w:r>
              <w:rPr>
                <w:color w:val="151F34"/>
                <w:sz w:val="17"/>
              </w:rPr>
              <w:t>and </w:t>
            </w:r>
            <w:r>
              <w:rPr>
                <w:color w:val="151F34"/>
                <w:spacing w:val="-2"/>
                <w:sz w:val="17"/>
              </w:rPr>
              <w:t>Assurance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Evidence </w:t>
      </w:r>
      <w:r>
        <w:rPr>
          <w:color w:val="151F34"/>
          <w:spacing w:val="-2"/>
        </w:rPr>
        <w:t>Register</w:t>
      </w:r>
    </w:p>
    <w:p>
      <w:pPr>
        <w:pStyle w:val="Heading2"/>
        <w:spacing w:before="213"/>
      </w:pPr>
      <w:r>
        <w:rPr>
          <w:color w:val="168749"/>
        </w:rPr>
        <w:t>Source files, calculation workbook and sign-off </w:t>
      </w:r>
      <w:r>
        <w:rPr>
          <w:color w:val="168749"/>
          <w:spacing w:val="-2"/>
        </w:rPr>
        <w:t>requirements.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Evidence </w:t>
            </w:r>
            <w:r>
              <w:rPr>
                <w:color w:val="151F34"/>
                <w:spacing w:val="-2"/>
                <w:sz w:val="17"/>
              </w:rPr>
              <w:t>Register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Transition </w:t>
      </w:r>
      <w:r>
        <w:rPr>
          <w:color w:val="151F34"/>
          <w:spacing w:val="-4"/>
        </w:rPr>
        <w:t>Plan</w:t>
      </w:r>
    </w:p>
    <w:p>
      <w:pPr>
        <w:pStyle w:val="Heading2"/>
        <w:spacing w:before="213"/>
      </w:pPr>
      <w:r>
        <w:rPr>
          <w:color w:val="168749"/>
        </w:rPr>
        <w:t>Decarbonisation roadmap and target </w:t>
      </w:r>
      <w:r>
        <w:rPr>
          <w:color w:val="168749"/>
          <w:spacing w:val="-2"/>
        </w:rPr>
        <w:t>pathway.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Transition </w:t>
            </w:r>
            <w:r>
              <w:rPr>
                <w:color w:val="151F34"/>
                <w:spacing w:val="-4"/>
                <w:sz w:val="17"/>
              </w:rPr>
              <w:t>Plan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</w:rPr>
        <w:t>Compliance </w:t>
      </w:r>
      <w:r>
        <w:rPr>
          <w:color w:val="151F34"/>
          <w:spacing w:val="-2"/>
        </w:rPr>
        <w:t>Checklist</w:t>
      </w:r>
    </w:p>
    <w:p>
      <w:pPr>
        <w:pStyle w:val="Heading2"/>
        <w:spacing w:before="213"/>
      </w:pPr>
      <w:r>
        <w:rPr>
          <w:color w:val="168749"/>
        </w:rPr>
        <w:t>ESRS climate disclosure checklist and completion </w:t>
      </w:r>
      <w:r>
        <w:rPr>
          <w:color w:val="168749"/>
          <w:spacing w:val="-2"/>
        </w:rPr>
        <w:t>status.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4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Complete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client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data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pack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for</w:t>
            </w:r>
            <w:r>
              <w:rPr>
                <w:color w:val="151F34"/>
                <w:spacing w:val="-8"/>
                <w:sz w:val="17"/>
              </w:rPr>
              <w:t> </w:t>
            </w:r>
            <w:r>
              <w:rPr>
                <w:color w:val="151F34"/>
                <w:sz w:val="17"/>
              </w:rPr>
              <w:t>Compliance </w:t>
            </w:r>
            <w:r>
              <w:rPr>
                <w:color w:val="151F34"/>
                <w:spacing w:val="-2"/>
                <w:sz w:val="17"/>
              </w:rPr>
              <w:t>Checklist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1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p>
      <w:pPr>
        <w:pStyle w:val="BodyText"/>
        <w:spacing w:after="0" w:line="271" w:lineRule="auto"/>
        <w:sectPr>
          <w:pgSz w:w="11910" w:h="16840"/>
          <w:pgMar w:header="0" w:footer="512" w:top="1020" w:bottom="700" w:left="0" w:right="0"/>
        </w:sectPr>
      </w:pPr>
    </w:p>
    <w:p>
      <w:pPr>
        <w:pStyle w:val="BodyText"/>
        <w:spacing w:before="251"/>
        <w:rPr>
          <w:sz w:val="40"/>
        </w:rPr>
      </w:pPr>
    </w:p>
    <w:p>
      <w:pPr>
        <w:pStyle w:val="Heading1"/>
      </w:pPr>
      <w:r>
        <w:rPr>
          <w:color w:val="151F34"/>
          <w:spacing w:val="-2"/>
        </w:rPr>
        <w:t>Appendix</w:t>
      </w:r>
    </w:p>
    <w:p>
      <w:pPr>
        <w:pStyle w:val="Heading2"/>
        <w:spacing w:before="213"/>
      </w:pPr>
      <w:r>
        <w:rPr>
          <w:color w:val="168749"/>
        </w:rPr>
        <w:t>Glossary, assumptions and data request </w:t>
      </w:r>
      <w:r>
        <w:rPr>
          <w:color w:val="168749"/>
          <w:spacing w:val="-2"/>
        </w:rPr>
        <w:t>list.</w:t>
      </w:r>
    </w:p>
    <w:p>
      <w:pPr>
        <w:pStyle w:val="Heading3"/>
        <w:spacing w:line="302" w:lineRule="auto"/>
      </w:pPr>
      <w:r>
        <w:rPr>
          <w:color w:val="151F34"/>
        </w:rPr>
        <w:t>This page follows the natural disclosure structure for France. It is not padded to a fixed page count; </w:t>
      </w:r>
      <w:r>
        <w:rPr>
          <w:color w:val="151F34"/>
        </w:rPr>
        <w:t>it contains only the sections needed for the reporting method and current evidence base.</w:t>
      </w:r>
    </w:p>
    <w:p>
      <w:pPr>
        <w:pStyle w:val="BodyText"/>
        <w:spacing w:before="152" w:after="1"/>
        <w:rPr>
          <w:sz w:val="20"/>
        </w:rPr>
      </w:pPr>
    </w:p>
    <w:tbl>
      <w:tblPr>
        <w:tblW w:w="0" w:type="auto"/>
        <w:jc w:val="left"/>
        <w:tblInd w:w="1649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154"/>
        <w:gridCol w:w="2154"/>
        <w:gridCol w:w="2154"/>
      </w:tblGrid>
      <w:tr>
        <w:trPr>
          <w:trHeight w:val="1230" w:hRule="atLeast"/>
        </w:trPr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1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0.0000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Direct</w:t>
            </w:r>
            <w:r>
              <w:rPr>
                <w:color w:val="697285"/>
                <w:spacing w:val="-10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SCOPE</w:t>
            </w:r>
            <w:r>
              <w:rPr>
                <w:color w:val="697285"/>
                <w:spacing w:val="-3"/>
                <w:sz w:val="17"/>
              </w:rPr>
              <w:t> </w:t>
            </w:r>
            <w:r>
              <w:rPr>
                <w:color w:val="697285"/>
                <w:spacing w:val="-10"/>
                <w:sz w:val="17"/>
              </w:rPr>
              <w:t>2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Purchased</w:t>
            </w:r>
            <w:r>
              <w:rPr>
                <w:color w:val="697285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energy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ENERGY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281.56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kWh</w:t>
            </w:r>
            <w:r>
              <w:rPr>
                <w:color w:val="697285"/>
                <w:spacing w:val="-8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captured</w:t>
            </w:r>
          </w:p>
        </w:tc>
        <w:tc>
          <w:tcPr>
            <w:tcW w:w="2154" w:type="dxa"/>
          </w:tcPr>
          <w:p>
            <w:pPr>
              <w:pStyle w:val="TableParagraph"/>
              <w:spacing w:before="183"/>
              <w:rPr>
                <w:sz w:val="17"/>
              </w:rPr>
            </w:pPr>
            <w:r>
              <w:rPr>
                <w:color w:val="697285"/>
                <w:spacing w:val="-2"/>
                <w:sz w:val="17"/>
              </w:rPr>
              <w:t>TOTAL</w:t>
            </w:r>
          </w:p>
          <w:p>
            <w:pPr>
              <w:pStyle w:val="TableParagraph"/>
              <w:spacing w:line="431" w:lineRule="exact" w:before="40"/>
              <w:rPr>
                <w:rFonts w:ascii="Arial"/>
                <w:b/>
                <w:sz w:val="38"/>
              </w:rPr>
            </w:pPr>
            <w:r>
              <w:rPr>
                <w:rFonts w:ascii="Arial"/>
                <w:b/>
                <w:color w:val="151F34"/>
                <w:spacing w:val="-2"/>
                <w:sz w:val="38"/>
              </w:rPr>
              <w:t>0.1999</w:t>
            </w:r>
          </w:p>
          <w:p>
            <w:pPr>
              <w:pStyle w:val="TableParagraph"/>
              <w:spacing w:line="189" w:lineRule="exact" w:before="0"/>
              <w:rPr>
                <w:sz w:val="17"/>
              </w:rPr>
            </w:pPr>
            <w:r>
              <w:rPr>
                <w:color w:val="697285"/>
                <w:sz w:val="17"/>
              </w:rPr>
              <w:t>Gross</w:t>
            </w:r>
            <w:r>
              <w:rPr>
                <w:color w:val="697285"/>
                <w:spacing w:val="-11"/>
                <w:sz w:val="17"/>
              </w:rPr>
              <w:t> </w:t>
            </w:r>
            <w:r>
              <w:rPr>
                <w:color w:val="697285"/>
                <w:spacing w:val="-2"/>
                <w:sz w:val="17"/>
              </w:rPr>
              <w:t>tCO2e</w:t>
            </w:r>
          </w:p>
        </w:tc>
      </w:tr>
    </w:tbl>
    <w:p>
      <w:pPr>
        <w:pStyle w:val="BodyText"/>
        <w:spacing w:before="101"/>
        <w:rPr>
          <w:sz w:val="20"/>
        </w:rPr>
      </w:pPr>
    </w:p>
    <w:tbl>
      <w:tblPr>
        <w:tblW w:w="0" w:type="auto"/>
        <w:jc w:val="left"/>
        <w:tblInd w:w="1536" w:type="dxa"/>
        <w:tblBorders>
          <w:top w:val="single" w:sz="4" w:space="0" w:color="D8E1DD"/>
          <w:left w:val="single" w:sz="4" w:space="0" w:color="D8E1DD"/>
          <w:bottom w:val="single" w:sz="4" w:space="0" w:color="D8E1DD"/>
          <w:right w:val="single" w:sz="4" w:space="0" w:color="D8E1DD"/>
          <w:insideH w:val="single" w:sz="4" w:space="0" w:color="D8E1DD"/>
          <w:insideV w:val="single" w:sz="4" w:space="0" w:color="D8E1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969"/>
        <w:gridCol w:w="2608"/>
      </w:tblGrid>
      <w:tr>
        <w:trPr>
          <w:trHeight w:val="450" w:hRule="atLeast"/>
        </w:trPr>
        <w:tc>
          <w:tcPr>
            <w:tcW w:w="2268" w:type="dxa"/>
            <w:shd w:val="clear" w:color="auto" w:fill="168749"/>
          </w:tcPr>
          <w:p>
            <w:pPr>
              <w:pStyle w:val="TableParagraph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Area</w:t>
            </w:r>
          </w:p>
        </w:tc>
        <w:tc>
          <w:tcPr>
            <w:tcW w:w="3969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Current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Detail</w:t>
            </w:r>
          </w:p>
        </w:tc>
        <w:tc>
          <w:tcPr>
            <w:tcW w:w="2608" w:type="dxa"/>
            <w:shd w:val="clear" w:color="auto" w:fill="168749"/>
          </w:tcPr>
          <w:p>
            <w:pPr>
              <w:pStyle w:val="TableParagraph"/>
              <w:ind w:left="1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Review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Note</w:t>
            </w:r>
          </w:p>
        </w:tc>
      </w:tr>
      <w:tr>
        <w:trPr>
          <w:trHeight w:val="678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Primary </w:t>
            </w:r>
            <w:r>
              <w:rPr>
                <w:color w:val="151F34"/>
                <w:spacing w:val="-2"/>
                <w:sz w:val="17"/>
              </w:rPr>
              <w:t>standard</w:t>
            </w:r>
          </w:p>
        </w:tc>
        <w:tc>
          <w:tcPr>
            <w:tcW w:w="3969" w:type="dxa"/>
          </w:tcPr>
          <w:p>
            <w:pPr>
              <w:pStyle w:val="TableParagraph"/>
              <w:spacing w:line="276" w:lineRule="auto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CSRD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/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ESRS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E1,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Bilan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GES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EU</w:t>
            </w:r>
            <w:r>
              <w:rPr>
                <w:color w:val="151F34"/>
                <w:spacing w:val="-5"/>
                <w:sz w:val="17"/>
              </w:rPr>
              <w:t> </w:t>
            </w:r>
            <w:r>
              <w:rPr>
                <w:color w:val="151F34"/>
                <w:sz w:val="17"/>
              </w:rPr>
              <w:t>Taxonomy </w:t>
            </w:r>
            <w:r>
              <w:rPr>
                <w:color w:val="151F34"/>
                <w:spacing w:val="-2"/>
                <w:sz w:val="17"/>
              </w:rPr>
              <w:t>readiness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Use as report </w:t>
            </w:r>
            <w:r>
              <w:rPr>
                <w:color w:val="151F34"/>
                <w:spacing w:val="-2"/>
                <w:sz w:val="17"/>
              </w:rPr>
              <w:t>basis</w:t>
            </w:r>
          </w:p>
        </w:tc>
      </w:tr>
      <w:tr>
        <w:trPr>
          <w:trHeight w:val="677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Current </w:t>
            </w:r>
            <w:r>
              <w:rPr>
                <w:color w:val="151F34"/>
                <w:spacing w:val="-2"/>
                <w:sz w:val="17"/>
              </w:rPr>
              <w:t>evidence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spacing w:line="276" w:lineRule="auto"/>
              <w:ind w:left="138" w:right="204"/>
              <w:rPr>
                <w:sz w:val="17"/>
              </w:rPr>
            </w:pPr>
            <w:r>
              <w:rPr>
                <w:color w:val="151F34"/>
                <w:sz w:val="17"/>
              </w:rPr>
              <w:t>Uploaded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electricity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invoice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and</w:t>
            </w:r>
            <w:r>
              <w:rPr>
                <w:color w:val="151F34"/>
                <w:spacing w:val="-10"/>
                <w:sz w:val="17"/>
              </w:rPr>
              <w:t> </w:t>
            </w:r>
            <w:r>
              <w:rPr>
                <w:color w:val="151F34"/>
                <w:sz w:val="17"/>
              </w:rPr>
              <w:t>calculation </w:t>
            </w:r>
            <w:r>
              <w:rPr>
                <w:color w:val="151F34"/>
                <w:spacing w:val="-2"/>
                <w:sz w:val="17"/>
              </w:rPr>
              <w:t>output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Draft-</w:t>
            </w:r>
            <w:r>
              <w:rPr>
                <w:color w:val="151F34"/>
                <w:spacing w:val="-2"/>
                <w:sz w:val="17"/>
              </w:rPr>
              <w:t>ready</w:t>
            </w:r>
          </w:p>
        </w:tc>
      </w:tr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Control </w:t>
            </w:r>
            <w:r>
              <w:rPr>
                <w:color w:val="151F34"/>
                <w:spacing w:val="-2"/>
                <w:sz w:val="17"/>
              </w:rPr>
              <w:t>requirement</w:t>
            </w:r>
          </w:p>
        </w:tc>
        <w:tc>
          <w:tcPr>
            <w:tcW w:w="3969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Source-to-calculation-to-report </w:t>
            </w:r>
            <w:r>
              <w:rPr>
                <w:color w:val="151F34"/>
                <w:spacing w:val="-2"/>
                <w:sz w:val="17"/>
              </w:rPr>
              <w:t>traceability</w:t>
            </w:r>
          </w:p>
        </w:tc>
        <w:tc>
          <w:tcPr>
            <w:tcW w:w="2608" w:type="dxa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Needed before </w:t>
            </w:r>
            <w:r>
              <w:rPr>
                <w:color w:val="151F34"/>
                <w:spacing w:val="-2"/>
                <w:sz w:val="17"/>
              </w:rPr>
              <w:t>issue</w:t>
            </w:r>
          </w:p>
        </w:tc>
      </w:tr>
      <w:tr>
        <w:trPr>
          <w:trHeight w:val="453" w:hRule="atLeast"/>
        </w:trPr>
        <w:tc>
          <w:tcPr>
            <w:tcW w:w="2268" w:type="dxa"/>
            <w:shd w:val="clear" w:color="auto" w:fill="F4F6F4"/>
          </w:tcPr>
          <w:p>
            <w:pPr>
              <w:pStyle w:val="TableParagraph"/>
              <w:ind w:left="139"/>
              <w:rPr>
                <w:sz w:val="17"/>
              </w:rPr>
            </w:pPr>
            <w:r>
              <w:rPr>
                <w:color w:val="151F34"/>
                <w:sz w:val="17"/>
              </w:rPr>
              <w:t>Next </w:t>
            </w:r>
            <w:r>
              <w:rPr>
                <w:color w:val="151F34"/>
                <w:spacing w:val="-2"/>
                <w:sz w:val="17"/>
              </w:rPr>
              <w:t>action</w:t>
            </w:r>
          </w:p>
        </w:tc>
        <w:tc>
          <w:tcPr>
            <w:tcW w:w="3969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Complete client data pack for </w:t>
            </w:r>
            <w:r>
              <w:rPr>
                <w:color w:val="151F34"/>
                <w:spacing w:val="-2"/>
                <w:sz w:val="17"/>
              </w:rPr>
              <w:t>Appendix</w:t>
            </w:r>
          </w:p>
        </w:tc>
        <w:tc>
          <w:tcPr>
            <w:tcW w:w="2608" w:type="dxa"/>
            <w:shd w:val="clear" w:color="auto" w:fill="F4F6F4"/>
          </w:tcPr>
          <w:p>
            <w:pPr>
              <w:pStyle w:val="TableParagraph"/>
              <w:ind w:left="138"/>
              <w:rPr>
                <w:sz w:val="17"/>
              </w:rPr>
            </w:pPr>
            <w:r>
              <w:rPr>
                <w:color w:val="151F34"/>
                <w:sz w:val="17"/>
              </w:rPr>
              <w:t>Pending client </w:t>
            </w:r>
            <w:r>
              <w:rPr>
                <w:color w:val="151F34"/>
                <w:spacing w:val="-2"/>
                <w:sz w:val="17"/>
              </w:rPr>
              <w:t>input</w:t>
            </w:r>
          </w:p>
        </w:tc>
      </w:tr>
    </w:tbl>
    <w:p>
      <w:pPr>
        <w:pStyle w:val="BodyText"/>
        <w:spacing w:before="172"/>
        <w:rPr>
          <w:sz w:val="28"/>
        </w:rPr>
      </w:pPr>
    </w:p>
    <w:p>
      <w:pPr>
        <w:pStyle w:val="Heading2"/>
      </w:pPr>
      <w:r>
        <w:rPr>
          <w:color w:val="168749"/>
        </w:rPr>
        <w:t>Reviewer </w:t>
      </w:r>
      <w:r>
        <w:rPr>
          <w:color w:val="168749"/>
          <w:spacing w:val="-4"/>
        </w:rPr>
        <w:t>Note</w:t>
      </w:r>
    </w:p>
    <w:p>
      <w:pPr>
        <w:pStyle w:val="BodyText"/>
        <w:spacing w:line="271" w:lineRule="auto" w:before="149"/>
        <w:ind w:left="1140" w:right="1471"/>
      </w:pPr>
      <w:r>
        <w:rPr>
          <w:color w:val="697285"/>
        </w:rPr>
        <w:t>Replace</w:t>
      </w:r>
      <w:r>
        <w:rPr>
          <w:color w:val="697285"/>
          <w:spacing w:val="-12"/>
        </w:rPr>
        <w:t> </w:t>
      </w:r>
      <w:r>
        <w:rPr>
          <w:color w:val="697285"/>
        </w:rPr>
        <w:t>placeholders</w:t>
      </w:r>
      <w:r>
        <w:rPr>
          <w:color w:val="697285"/>
          <w:spacing w:val="-11"/>
        </w:rPr>
        <w:t> </w:t>
      </w:r>
      <w:r>
        <w:rPr>
          <w:color w:val="697285"/>
        </w:rPr>
        <w:t>with</w:t>
      </w:r>
      <w:r>
        <w:rPr>
          <w:color w:val="697285"/>
          <w:spacing w:val="-12"/>
        </w:rPr>
        <w:t> </w:t>
      </w:r>
      <w:r>
        <w:rPr>
          <w:color w:val="697285"/>
        </w:rPr>
        <w:t>approved</w:t>
      </w:r>
      <w:r>
        <w:rPr>
          <w:color w:val="697285"/>
          <w:spacing w:val="-11"/>
        </w:rPr>
        <w:t> </w:t>
      </w:r>
      <w:r>
        <w:rPr>
          <w:color w:val="697285"/>
        </w:rPr>
        <w:t>client</w:t>
      </w:r>
      <w:r>
        <w:rPr>
          <w:color w:val="697285"/>
          <w:spacing w:val="-12"/>
        </w:rPr>
        <w:t> </w:t>
      </w:r>
      <w:r>
        <w:rPr>
          <w:color w:val="697285"/>
        </w:rPr>
        <w:t>data,</w:t>
      </w:r>
      <w:r>
        <w:rPr>
          <w:color w:val="697285"/>
          <w:spacing w:val="-11"/>
        </w:rPr>
        <w:t> </w:t>
      </w:r>
      <w:r>
        <w:rPr>
          <w:color w:val="697285"/>
        </w:rPr>
        <w:t>country-specific</w:t>
      </w:r>
      <w:r>
        <w:rPr>
          <w:color w:val="697285"/>
          <w:spacing w:val="-12"/>
        </w:rPr>
        <w:t> </w:t>
      </w:r>
      <w:r>
        <w:rPr>
          <w:color w:val="697285"/>
        </w:rPr>
        <w:t>emission</w:t>
      </w:r>
      <w:r>
        <w:rPr>
          <w:color w:val="697285"/>
          <w:spacing w:val="-11"/>
        </w:rPr>
        <w:t> </w:t>
      </w:r>
      <w:r>
        <w:rPr>
          <w:color w:val="697285"/>
        </w:rPr>
        <w:t>factors,</w:t>
      </w:r>
      <w:r>
        <w:rPr>
          <w:color w:val="697285"/>
          <w:spacing w:val="-12"/>
        </w:rPr>
        <w:t> </w:t>
      </w:r>
      <w:r>
        <w:rPr>
          <w:color w:val="697285"/>
        </w:rPr>
        <w:t>final</w:t>
      </w:r>
      <w:r>
        <w:rPr>
          <w:color w:val="697285"/>
          <w:spacing w:val="-11"/>
        </w:rPr>
        <w:t> </w:t>
      </w:r>
      <w:r>
        <w:rPr>
          <w:color w:val="697285"/>
        </w:rPr>
        <w:t>boundary</w:t>
      </w:r>
      <w:r>
        <w:rPr>
          <w:color w:val="697285"/>
          <w:spacing w:val="-12"/>
        </w:rPr>
        <w:t> </w:t>
      </w:r>
      <w:r>
        <w:rPr>
          <w:color w:val="697285"/>
        </w:rPr>
        <w:t>decisions</w:t>
      </w:r>
      <w:r>
        <w:rPr>
          <w:color w:val="697285"/>
          <w:spacing w:val="-11"/>
        </w:rPr>
        <w:t> </w:t>
      </w:r>
      <w:r>
        <w:rPr>
          <w:color w:val="697285"/>
        </w:rPr>
        <w:t>and</w:t>
      </w:r>
      <w:r>
        <w:rPr>
          <w:color w:val="697285"/>
          <w:spacing w:val="-12"/>
        </w:rPr>
        <w:t> </w:t>
      </w:r>
      <w:r>
        <w:rPr>
          <w:color w:val="697285"/>
        </w:rPr>
        <w:t>management sign-off before formal issue.</w:t>
      </w:r>
    </w:p>
    <w:sectPr>
      <w:pgSz w:w="11910" w:h="16840"/>
      <w:pgMar w:header="0" w:footer="512" w:top="1020" w:bottom="70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656">
              <wp:simplePos x="0" y="0"/>
              <wp:positionH relativeFrom="page">
                <wp:posOffset>635299</wp:posOffset>
              </wp:positionH>
              <wp:positionV relativeFrom="page">
                <wp:posOffset>10221576</wp:posOffset>
              </wp:positionV>
              <wp:extent cx="3284220" cy="1460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8422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697285"/>
                            </w:rPr>
                            <w:t>Strictly Confidential. Powered by CarbonSynq Earth AI Data </w:t>
                          </w:r>
                          <w:r>
                            <w:rPr>
                              <w:color w:val="697285"/>
                              <w:spacing w:val="-2"/>
                            </w:rPr>
                            <w:t>Engine.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4.848511pt;width:258.6pt;height:11.5pt;mso-position-horizontal-relative:page;mso-position-vertical-relative:page;z-index:-163978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697285"/>
                      </w:rPr>
                      <w:t>Strictly Confidential. Powered by CarbonSynq Earth AI Data </w:t>
                    </w:r>
                    <w:r>
                      <w:rPr>
                        <w:color w:val="697285"/>
                        <w:spacing w:val="-2"/>
                      </w:rPr>
                      <w:t>Engine.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704">
              <wp:simplePos x="0" y="0"/>
              <wp:positionH relativeFrom="page">
                <wp:posOffset>635299</wp:posOffset>
              </wp:positionH>
              <wp:positionV relativeFrom="page">
                <wp:posOffset>10227324</wp:posOffset>
              </wp:positionV>
              <wp:extent cx="2691130" cy="13906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6911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7285"/>
                              <w:sz w:val="16"/>
                            </w:rPr>
                            <w:t>CSRD / ESRS E1, Bilan GES and EU Taxonomy </w:t>
                          </w:r>
                          <w:r>
                            <w:rPr>
                              <w:color w:val="697285"/>
                              <w:spacing w:val="-2"/>
                              <w:sz w:val="16"/>
                            </w:rPr>
                            <w:t>readiness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05.301147pt;width:211.9pt;height:10.95pt;mso-position-horizontal-relative:page;mso-position-vertical-relative:page;z-index:-16395776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7285"/>
                        <w:sz w:val="16"/>
                      </w:rPr>
                      <w:t>CSRD / ESRS E1, Bilan GES and EU Taxonomy </w:t>
                    </w:r>
                    <w:r>
                      <w:rPr>
                        <w:color w:val="697285"/>
                        <w:spacing w:val="-2"/>
                        <w:sz w:val="16"/>
                      </w:rPr>
                      <w:t>readiness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1216">
              <wp:simplePos x="0" y="0"/>
              <wp:positionH relativeFrom="page">
                <wp:posOffset>6520840</wp:posOffset>
              </wp:positionH>
              <wp:positionV relativeFrom="page">
                <wp:posOffset>10227324</wp:posOffset>
              </wp:positionV>
              <wp:extent cx="442595" cy="13906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42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97285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69728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3.452026pt;margin-top:805.301147pt;width:34.85pt;height:10.95pt;mso-position-horizontal-relative:page;mso-position-vertical-relative:page;z-index:-16395264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97285"/>
                        <w:sz w:val="16"/>
                      </w:rPr>
                      <w:t>Page </w: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69728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16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648335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7560309" cy="648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64833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647999"/>
                            </a:lnTo>
                            <a:lnTo>
                              <a:pt x="7560000" y="647999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6874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.000051pt;width:595.275600pt;height:51.02362pt;mso-position-horizontal-relative:page;mso-position-vertical-relative:page;z-index:-16397312" id="docshape6" filled="true" fillcolor="#16874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680">
              <wp:simplePos x="0" y="0"/>
              <wp:positionH relativeFrom="page">
                <wp:posOffset>635299</wp:posOffset>
              </wp:positionH>
              <wp:positionV relativeFrom="page">
                <wp:posOffset>261827</wp:posOffset>
              </wp:positionV>
              <wp:extent cx="2197735" cy="1536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1977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18"/>
                            </w:rPr>
                            <w:t>CarbonSynq Earth | France Demo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18"/>
                            </w:rPr>
                            <w:t>Client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20.616310pt;width:173.05pt;height:12.1pt;mso-position-horizontal-relative:page;mso-position-vertical-relative:page;z-index:-16396800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8"/>
                      </w:rPr>
                      <w:t>CarbonSynq Earth | France Demo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18"/>
                      </w:rPr>
                      <w:t>Client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192">
              <wp:simplePos x="0" y="0"/>
              <wp:positionH relativeFrom="page">
                <wp:posOffset>4739652</wp:posOffset>
              </wp:positionH>
              <wp:positionV relativeFrom="page">
                <wp:posOffset>267575</wp:posOffset>
              </wp:positionV>
              <wp:extent cx="2185670" cy="1460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18567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France CSRD and Bilan GES Climate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3.200989pt;margin-top:21.068947pt;width:172.1pt;height:11.5pt;mso-position-horizontal-relative:page;mso-position-vertical-relative:page;z-index:-16396288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FFFFFF"/>
                      </w:rPr>
                      <w:t>France CSRD and Bilan GES Climate </w:t>
                    </w:r>
                    <w:r>
                      <w:rPr>
                        <w:color w:val="FFFFFF"/>
                        <w:spacing w:val="-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748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51F34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6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3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9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6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2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39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5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72" w:hanging="1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48" w:hanging="1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51F34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6" w:hanging="1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3" w:hanging="1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89" w:hanging="1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6" w:hanging="1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22" w:hanging="1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39" w:hanging="1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55" w:hanging="1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72" w:hanging="18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40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4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7"/>
      <w:ind w:left="1140" w:right="1471"/>
      <w:outlineLvl w:val="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40" w:right="1471"/>
    </w:pPr>
    <w:rPr>
      <w:rFonts w:ascii="Arial" w:hAnsi="Arial" w:eastAsia="Arial" w:cs="Arial"/>
      <w:b/>
      <w:bCs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48" w:hanging="18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2026-07-10T13:08:15Z</dcterms:created>
  <dcterms:modified xsi:type="dcterms:W3CDTF">2026-07-10T13:08:15Z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2026-07-10T00:00:00Z</vt:filetime>
  </property>
  <property fmtid="{D5CDD505-2E9C-101B-9397-08002B2CF9AE}" pid="6" name="Producer">
    <vt:lpwstr>ReportLab PDF Library - (opensource)</vt:lpwstr>
  </property>
</Properties>
</file>