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8"/>
        </w:rPr>
      </w:pPr>
      <w:r>
        <w:rPr>
          <w:rFonts w:asci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056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980564"/>
                          <a:chExt cx="7560309" cy="19805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8056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99"/>
                                </a:lnTo>
                                <a:lnTo>
                                  <a:pt x="7560000" y="197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980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6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2"/>
                                </w:rPr>
                                <w:t>CarbonSynq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2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155.950pt;mso-position-horizontal-relative:page;mso-position-vertical-relative:page;z-index:15729152" id="docshapegroup2" coordorigin="0,0" coordsize="11906,3119">
                <v:rect style="position:absolute;left:0;top:0;width:11906;height:3119" id="docshape3" filled="true" fillcolor="#168749" stroked="false">
                  <v:fill type="solid"/>
                </v:rect>
                <v:shape style="position:absolute;left:0;top:0;width:11906;height:311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76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Arial"/>
                            <w:b/>
                            <w:sz w:val="6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2"/>
                          </w:rPr>
                          <w:t>CarbonSynq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2"/>
                          </w:rPr>
                          <w:t>Earth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spacing w:before="485"/>
        <w:rPr>
          <w:rFonts w:ascii="Times New Roman"/>
          <w:sz w:val="58"/>
        </w:rPr>
      </w:pPr>
    </w:p>
    <w:p>
      <w:pPr>
        <w:pStyle w:val="Title"/>
        <w:spacing w:line="244" w:lineRule="auto"/>
      </w:pPr>
      <w:r>
        <w:rPr>
          <w:color w:val="151F34"/>
        </w:rPr>
        <w:t>Germany</w:t>
      </w:r>
      <w:r>
        <w:rPr>
          <w:color w:val="151F34"/>
          <w:spacing w:val="-9"/>
        </w:rPr>
        <w:t> </w:t>
      </w:r>
      <w:r>
        <w:rPr>
          <w:color w:val="151F34"/>
        </w:rPr>
        <w:t>CSRD</w:t>
      </w:r>
      <w:r>
        <w:rPr>
          <w:color w:val="151F34"/>
          <w:spacing w:val="-9"/>
        </w:rPr>
        <w:t> </w:t>
      </w:r>
      <w:r>
        <w:rPr>
          <w:color w:val="151F34"/>
        </w:rPr>
        <w:t>and</w:t>
      </w:r>
      <w:r>
        <w:rPr>
          <w:color w:val="151F34"/>
          <w:spacing w:val="-9"/>
        </w:rPr>
        <w:t> </w:t>
      </w:r>
      <w:r>
        <w:rPr>
          <w:color w:val="151F34"/>
        </w:rPr>
        <w:t>ESRS</w:t>
      </w:r>
      <w:r>
        <w:rPr>
          <w:color w:val="151F34"/>
          <w:spacing w:val="-9"/>
        </w:rPr>
        <w:t> </w:t>
      </w:r>
      <w:r>
        <w:rPr>
          <w:color w:val="151F34"/>
        </w:rPr>
        <w:t>Climate </w:t>
      </w:r>
      <w:r>
        <w:rPr>
          <w:color w:val="151F34"/>
          <w:spacing w:val="-2"/>
        </w:rPr>
        <w:t>Report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2520000</wp:posOffset>
                </wp:positionH>
                <wp:positionV relativeFrom="paragraph">
                  <wp:posOffset>190947</wp:posOffset>
                </wp:positionV>
                <wp:extent cx="2520315" cy="793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3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79375">
                              <a:moveTo>
                                <a:pt x="252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2520000" y="79199"/>
                              </a:lnTo>
                              <a:lnTo>
                                <a:pt x="252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87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25201pt;margin-top:15.035222pt;width:198.4252pt;height:6.23622pt;mso-position-horizontal-relative:page;mso-position-vertical-relative:paragraph;z-index:-15728640;mso-wrap-distance-left:0;mso-wrap-distance-right:0" id="docshape5" filled="true" fillcolor="#1687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1140"/>
      </w:pPr>
      <w:r>
        <w:rPr>
          <w:color w:val="697285"/>
          <w:spacing w:val="-2"/>
        </w:rPr>
        <w:t>Prepared</w:t>
      </w:r>
      <w:r>
        <w:rPr>
          <w:color w:val="697285"/>
          <w:spacing w:val="1"/>
        </w:rPr>
        <w:t> </w:t>
      </w:r>
      <w:r>
        <w:rPr>
          <w:color w:val="697285"/>
          <w:spacing w:val="-4"/>
        </w:rPr>
        <w:t>for:</w:t>
      </w:r>
    </w:p>
    <w:p>
      <w:pPr>
        <w:pStyle w:val="Heading3"/>
        <w:spacing w:before="33"/>
        <w:ind w:right="0"/>
      </w:pPr>
      <w:r>
        <w:rPr>
          <w:color w:val="151F34"/>
        </w:rPr>
        <w:t>CarbonSynq</w:t>
      </w:r>
      <w:r>
        <w:rPr>
          <w:color w:val="151F34"/>
          <w:spacing w:val="15"/>
        </w:rPr>
        <w:t> </w:t>
      </w:r>
      <w:r>
        <w:rPr>
          <w:color w:val="151F34"/>
        </w:rPr>
        <w:t>Earth</w:t>
      </w:r>
      <w:r>
        <w:rPr>
          <w:color w:val="151F34"/>
          <w:spacing w:val="16"/>
        </w:rPr>
        <w:t> </w:t>
      </w:r>
      <w:r>
        <w:rPr>
          <w:color w:val="151F34"/>
        </w:rPr>
        <w:t>Germany</w:t>
      </w:r>
      <w:r>
        <w:rPr>
          <w:color w:val="151F34"/>
          <w:spacing w:val="16"/>
        </w:rPr>
        <w:t> </w:t>
      </w:r>
      <w:r>
        <w:rPr>
          <w:color w:val="151F34"/>
        </w:rPr>
        <w:t>Demo</w:t>
      </w:r>
      <w:r>
        <w:rPr>
          <w:color w:val="151F34"/>
          <w:spacing w:val="15"/>
        </w:rPr>
        <w:t> </w:t>
      </w:r>
      <w:r>
        <w:rPr>
          <w:color w:val="151F34"/>
          <w:spacing w:val="-2"/>
        </w:rPr>
        <w:t>Client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Reporting</w:t>
      </w:r>
      <w:r>
        <w:rPr>
          <w:color w:val="697285"/>
          <w:spacing w:val="2"/>
        </w:rPr>
        <w:t> </w:t>
      </w:r>
      <w:r>
        <w:rPr>
          <w:color w:val="697285"/>
          <w:spacing w:val="-2"/>
        </w:rPr>
        <w:t>Method:</w:t>
      </w:r>
    </w:p>
    <w:p>
      <w:pPr>
        <w:pStyle w:val="Heading3"/>
        <w:spacing w:before="32"/>
        <w:ind w:right="0"/>
      </w:pPr>
      <w:r>
        <w:rPr>
          <w:color w:val="151F34"/>
        </w:rPr>
        <w:t>CSRD</w:t>
      </w:r>
      <w:r>
        <w:rPr>
          <w:color w:val="151F34"/>
          <w:spacing w:val="11"/>
        </w:rPr>
        <w:t> </w:t>
      </w:r>
      <w:r>
        <w:rPr>
          <w:color w:val="151F34"/>
        </w:rPr>
        <w:t>/</w:t>
      </w:r>
      <w:r>
        <w:rPr>
          <w:color w:val="151F34"/>
          <w:spacing w:val="11"/>
        </w:rPr>
        <w:t> </w:t>
      </w:r>
      <w:r>
        <w:rPr>
          <w:color w:val="151F34"/>
        </w:rPr>
        <w:t>ESRS</w:t>
      </w:r>
      <w:r>
        <w:rPr>
          <w:color w:val="151F34"/>
          <w:spacing w:val="12"/>
        </w:rPr>
        <w:t> </w:t>
      </w:r>
      <w:r>
        <w:rPr>
          <w:color w:val="151F34"/>
        </w:rPr>
        <w:t>E1</w:t>
      </w:r>
      <w:r>
        <w:rPr>
          <w:color w:val="151F34"/>
          <w:spacing w:val="11"/>
        </w:rPr>
        <w:t> </w:t>
      </w:r>
      <w:r>
        <w:rPr>
          <w:color w:val="151F34"/>
        </w:rPr>
        <w:t>with</w:t>
      </w:r>
      <w:r>
        <w:rPr>
          <w:color w:val="151F34"/>
          <w:spacing w:val="12"/>
        </w:rPr>
        <w:t> </w:t>
      </w:r>
      <w:r>
        <w:rPr>
          <w:color w:val="151F34"/>
        </w:rPr>
        <w:t>German</w:t>
      </w:r>
      <w:r>
        <w:rPr>
          <w:color w:val="151F34"/>
          <w:spacing w:val="11"/>
        </w:rPr>
        <w:t> </w:t>
      </w:r>
      <w:r>
        <w:rPr>
          <w:color w:val="151F34"/>
        </w:rPr>
        <w:t>management</w:t>
      </w:r>
      <w:r>
        <w:rPr>
          <w:color w:val="151F34"/>
          <w:spacing w:val="12"/>
        </w:rPr>
        <w:t> </w:t>
      </w:r>
      <w:r>
        <w:rPr>
          <w:color w:val="151F34"/>
        </w:rPr>
        <w:t>report</w:t>
      </w:r>
      <w:r>
        <w:rPr>
          <w:color w:val="151F34"/>
          <w:spacing w:val="11"/>
        </w:rPr>
        <w:t> </w:t>
      </w:r>
      <w:r>
        <w:rPr>
          <w:color w:val="151F34"/>
          <w:spacing w:val="-2"/>
        </w:rPr>
        <w:t>readiness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Generated</w:t>
      </w:r>
      <w:r>
        <w:rPr>
          <w:color w:val="697285"/>
        </w:rPr>
        <w:t> </w:t>
      </w:r>
      <w:r>
        <w:rPr>
          <w:color w:val="697285"/>
          <w:spacing w:val="-5"/>
        </w:rPr>
        <w:t>on:</w:t>
      </w:r>
    </w:p>
    <w:p>
      <w:pPr>
        <w:spacing w:before="33"/>
        <w:ind w:left="1140" w:right="0" w:firstLine="0"/>
        <w:jc w:val="left"/>
        <w:rPr>
          <w:sz w:val="20"/>
        </w:rPr>
      </w:pPr>
      <w:r>
        <w:rPr>
          <w:color w:val="151F34"/>
          <w:sz w:val="20"/>
        </w:rPr>
        <w:t>10</w:t>
      </w:r>
      <w:r>
        <w:rPr>
          <w:color w:val="151F34"/>
          <w:spacing w:val="6"/>
          <w:sz w:val="20"/>
        </w:rPr>
        <w:t> </w:t>
      </w:r>
      <w:r>
        <w:rPr>
          <w:color w:val="151F34"/>
          <w:sz w:val="20"/>
        </w:rPr>
        <w:t>July</w:t>
      </w:r>
      <w:r>
        <w:rPr>
          <w:color w:val="151F34"/>
          <w:spacing w:val="7"/>
          <w:sz w:val="20"/>
        </w:rPr>
        <w:t> </w:t>
      </w:r>
      <w:r>
        <w:rPr>
          <w:color w:val="151F34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Heading2"/>
      </w:pPr>
      <w:r>
        <w:rPr>
          <w:color w:val="168749"/>
        </w:rPr>
        <w:t>Table of </w:t>
      </w:r>
      <w:r>
        <w:rPr>
          <w:color w:val="168749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92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Double </w:t>
      </w:r>
      <w:r>
        <w:rPr>
          <w:color w:val="151F34"/>
          <w:spacing w:val="-2"/>
          <w:sz w:val="17"/>
        </w:rPr>
        <w:t>Materiality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Governance </w:t>
      </w:r>
      <w:r>
        <w:rPr>
          <w:color w:val="151F34"/>
          <w:spacing w:val="-2"/>
          <w:sz w:val="17"/>
        </w:rPr>
        <w:t>Disclosures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</w:t>
      </w:r>
      <w:r>
        <w:rPr>
          <w:color w:val="151F34"/>
          <w:spacing w:val="-2"/>
          <w:sz w:val="17"/>
        </w:rPr>
        <w:t>Resilience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IRO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Policies and </w:t>
      </w:r>
      <w:r>
        <w:rPr>
          <w:color w:val="151F34"/>
          <w:spacing w:val="-2"/>
          <w:sz w:val="17"/>
        </w:rPr>
        <w:t>Actions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521" w:top="0" w:bottom="720" w:left="0" w:right="0"/>
          <w:pgNumType w:start="1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Table of </w:t>
      </w:r>
      <w:r>
        <w:rPr>
          <w:color w:val="151F34"/>
          <w:spacing w:val="-2"/>
        </w:rPr>
        <w:t>Contents</w:t>
      </w:r>
    </w:p>
    <w:p>
      <w:pPr>
        <w:pStyle w:val="Heading2"/>
        <w:spacing w:before="213"/>
      </w:pPr>
      <w:r>
        <w:rPr>
          <w:color w:val="168749"/>
        </w:rPr>
        <w:t>Complete section list for the </w:t>
      </w:r>
      <w:r>
        <w:rPr>
          <w:color w:val="168749"/>
          <w:spacing w:val="-2"/>
        </w:rPr>
        <w:t>report.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23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Double </w:t>
      </w:r>
      <w:r>
        <w:rPr>
          <w:color w:val="151F34"/>
          <w:spacing w:val="-2"/>
          <w:sz w:val="17"/>
        </w:rPr>
        <w:t>Materiality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Governance </w:t>
      </w:r>
      <w:r>
        <w:rPr>
          <w:color w:val="151F34"/>
          <w:spacing w:val="-2"/>
          <w:sz w:val="17"/>
        </w:rPr>
        <w:t>Disclosures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</w:t>
      </w:r>
      <w:r>
        <w:rPr>
          <w:color w:val="151F34"/>
          <w:spacing w:val="-2"/>
          <w:sz w:val="17"/>
        </w:rPr>
        <w:t>Resilience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IRO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Policies and </w:t>
      </w:r>
      <w:r>
        <w:rPr>
          <w:color w:val="151F34"/>
          <w:spacing w:val="-2"/>
          <w:sz w:val="17"/>
        </w:rPr>
        <w:t>Actions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Inventory </w:t>
      </w:r>
      <w:r>
        <w:rPr>
          <w:color w:val="151F34"/>
          <w:spacing w:val="-2"/>
          <w:sz w:val="17"/>
        </w:rPr>
        <w:t>Boundary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11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Calculation </w:t>
      </w:r>
      <w:r>
        <w:rPr>
          <w:color w:val="151F34"/>
          <w:spacing w:val="-2"/>
          <w:sz w:val="17"/>
        </w:rPr>
        <w:t>Methodology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12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Controls and </w:t>
      </w:r>
      <w:r>
        <w:rPr>
          <w:color w:val="151F34"/>
          <w:spacing w:val="-2"/>
          <w:sz w:val="17"/>
        </w:rPr>
        <w:t>Assurance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13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Management Report </w:t>
      </w:r>
      <w:r>
        <w:rPr>
          <w:color w:val="151F34"/>
          <w:spacing w:val="-2"/>
          <w:sz w:val="17"/>
        </w:rPr>
        <w:t>Integration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14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Transition </w:t>
      </w:r>
      <w:r>
        <w:rPr>
          <w:color w:val="151F34"/>
          <w:spacing w:val="-4"/>
          <w:sz w:val="17"/>
        </w:rPr>
        <w:t>Plan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Compliance </w:t>
      </w:r>
      <w:r>
        <w:rPr>
          <w:color w:val="151F34"/>
          <w:spacing w:val="-2"/>
          <w:sz w:val="17"/>
        </w:rPr>
        <w:t>Checklist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pacing w:val="-2"/>
          <w:sz w:val="17"/>
        </w:rPr>
        <w:t>Appendix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17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headerReference w:type="default" r:id="rId6"/>
          <w:footerReference w:type="default" r:id="rId7"/>
          <w:pgSz w:w="11910" w:h="16840"/>
          <w:pgMar w:header="0" w:footer="512" w:top="1020" w:bottom="700" w:left="0" w:right="0"/>
          <w:pgNumType w:start="2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Executive </w:t>
      </w:r>
      <w:r>
        <w:rPr>
          <w:color w:val="151F34"/>
          <w:spacing w:val="-2"/>
        </w:rPr>
        <w:t>Summary</w:t>
      </w:r>
    </w:p>
    <w:p>
      <w:pPr>
        <w:pStyle w:val="Heading2"/>
        <w:spacing w:before="213"/>
      </w:pPr>
      <w:r>
        <w:rPr>
          <w:color w:val="168749"/>
        </w:rPr>
        <w:t>Management-ready overview of climate position and reporting </w:t>
      </w:r>
      <w:r>
        <w:rPr>
          <w:color w:val="168749"/>
          <w:spacing w:val="-2"/>
        </w:rPr>
        <w:t>status.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Executive </w:t>
            </w:r>
            <w:r>
              <w:rPr>
                <w:color w:val="151F34"/>
                <w:spacing w:val="-2"/>
                <w:sz w:val="17"/>
              </w:rPr>
              <w:t>Summary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Reporting </w:t>
      </w:r>
      <w:r>
        <w:rPr>
          <w:color w:val="151F34"/>
          <w:spacing w:val="-2"/>
        </w:rPr>
        <w:t>Basis</w:t>
      </w:r>
    </w:p>
    <w:p>
      <w:pPr>
        <w:pStyle w:val="Heading2"/>
        <w:spacing w:before="213"/>
      </w:pPr>
      <w:r>
        <w:rPr>
          <w:color w:val="168749"/>
        </w:rPr>
        <w:t>CSRD, ESRS 1, ESRS 2 and ESRS E1 climate reporting </w:t>
      </w:r>
      <w:r>
        <w:rPr>
          <w:color w:val="168749"/>
          <w:spacing w:val="-2"/>
        </w:rPr>
        <w:t>architecture.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Reporting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Double </w:t>
      </w:r>
      <w:r>
        <w:rPr>
          <w:color w:val="151F34"/>
          <w:spacing w:val="-2"/>
        </w:rPr>
        <w:t>Materiality</w:t>
      </w:r>
    </w:p>
    <w:p>
      <w:pPr>
        <w:pStyle w:val="Heading2"/>
        <w:spacing w:before="213"/>
      </w:pPr>
      <w:r>
        <w:rPr>
          <w:color w:val="168749"/>
        </w:rPr>
        <w:t>Inside-out and outside-in materiality assessment </w:t>
      </w:r>
      <w:r>
        <w:rPr>
          <w:color w:val="168749"/>
          <w:spacing w:val="-2"/>
        </w:rPr>
        <w:t>structure.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Double </w:t>
            </w:r>
            <w:r>
              <w:rPr>
                <w:color w:val="151F34"/>
                <w:spacing w:val="-2"/>
                <w:sz w:val="17"/>
              </w:rPr>
              <w:t>Materiality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Governance </w:t>
      </w:r>
      <w:r>
        <w:rPr>
          <w:color w:val="151F34"/>
          <w:spacing w:val="-2"/>
        </w:rPr>
        <w:t>Disclosures</w:t>
      </w:r>
    </w:p>
    <w:p>
      <w:pPr>
        <w:pStyle w:val="Heading2"/>
        <w:spacing w:before="213"/>
      </w:pPr>
      <w:r>
        <w:rPr>
          <w:color w:val="168749"/>
        </w:rPr>
        <w:t>Supervisory and management board climate oversight </w:t>
      </w:r>
      <w:r>
        <w:rPr>
          <w:color w:val="168749"/>
          <w:spacing w:val="-2"/>
        </w:rPr>
        <w:t>model.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Governance </w:t>
            </w:r>
            <w:r>
              <w:rPr>
                <w:color w:val="151F34"/>
                <w:spacing w:val="-2"/>
                <w:sz w:val="17"/>
              </w:rPr>
              <w:t>Disclosures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Strategy and </w:t>
      </w:r>
      <w:r>
        <w:rPr>
          <w:color w:val="151F34"/>
          <w:spacing w:val="-2"/>
        </w:rPr>
        <w:t>Resilience</w:t>
      </w:r>
    </w:p>
    <w:p>
      <w:pPr>
        <w:pStyle w:val="Heading2"/>
        <w:spacing w:before="213"/>
      </w:pPr>
      <w:r>
        <w:rPr>
          <w:color w:val="168749"/>
        </w:rPr>
        <w:t>Business model, transition risks and resilience </w:t>
      </w:r>
      <w:r>
        <w:rPr>
          <w:color w:val="168749"/>
          <w:spacing w:val="-2"/>
        </w:rPr>
        <w:t>narrative.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Strategy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Resilience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IRO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Impacts, risks and opportunities for climate </w:t>
      </w:r>
      <w:r>
        <w:rPr>
          <w:color w:val="168749"/>
          <w:spacing w:val="-2"/>
        </w:rPr>
        <w:t>change.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IRO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Policies and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Climate policies, measures, resources and </w:t>
      </w:r>
      <w:r>
        <w:rPr>
          <w:color w:val="168749"/>
          <w:spacing w:val="-2"/>
        </w:rPr>
        <w:t>responsibilities.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Policies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Actions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Metrics and </w:t>
      </w:r>
      <w:r>
        <w:rPr>
          <w:color w:val="151F34"/>
          <w:spacing w:val="-2"/>
        </w:rPr>
        <w:t>Targets</w:t>
      </w:r>
    </w:p>
    <w:p>
      <w:pPr>
        <w:pStyle w:val="Heading2"/>
        <w:spacing w:before="213"/>
      </w:pPr>
      <w:r>
        <w:rPr>
          <w:color w:val="168749"/>
        </w:rPr>
        <w:t>Energy, Scope 1, Scope 2, Scope 3 and target </w:t>
      </w:r>
      <w:r>
        <w:rPr>
          <w:color w:val="168749"/>
          <w:spacing w:val="-2"/>
        </w:rPr>
        <w:t>tracking.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Metrics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Targets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Inventory </w:t>
      </w:r>
      <w:r>
        <w:rPr>
          <w:color w:val="151F34"/>
          <w:spacing w:val="-2"/>
        </w:rPr>
        <w:t>Boundary</w:t>
      </w:r>
    </w:p>
    <w:p>
      <w:pPr>
        <w:pStyle w:val="Heading2"/>
        <w:spacing w:line="268" w:lineRule="auto" w:before="213"/>
        <w:ind w:right="1471"/>
      </w:pPr>
      <w:r>
        <w:rPr>
          <w:color w:val="168749"/>
        </w:rPr>
        <w:t>Organisational</w:t>
      </w:r>
      <w:r>
        <w:rPr>
          <w:color w:val="168749"/>
          <w:spacing w:val="-6"/>
        </w:rPr>
        <w:t> </w:t>
      </w:r>
      <w:r>
        <w:rPr>
          <w:color w:val="168749"/>
        </w:rPr>
        <w:t>boundary,</w:t>
      </w:r>
      <w:r>
        <w:rPr>
          <w:color w:val="168749"/>
          <w:spacing w:val="-6"/>
        </w:rPr>
        <w:t> </w:t>
      </w:r>
      <w:r>
        <w:rPr>
          <w:color w:val="168749"/>
        </w:rPr>
        <w:t>operational</w:t>
      </w:r>
      <w:r>
        <w:rPr>
          <w:color w:val="168749"/>
          <w:spacing w:val="-6"/>
        </w:rPr>
        <w:t> </w:t>
      </w:r>
      <w:r>
        <w:rPr>
          <w:color w:val="168749"/>
        </w:rPr>
        <w:t>boundary</w:t>
      </w:r>
      <w:r>
        <w:rPr>
          <w:color w:val="168749"/>
          <w:spacing w:val="-6"/>
        </w:rPr>
        <w:t> </w:t>
      </w:r>
      <w:r>
        <w:rPr>
          <w:color w:val="168749"/>
        </w:rPr>
        <w:t>and</w:t>
      </w:r>
      <w:r>
        <w:rPr>
          <w:color w:val="168749"/>
          <w:spacing w:val="-6"/>
        </w:rPr>
        <w:t> </w:t>
      </w:r>
      <w:r>
        <w:rPr>
          <w:color w:val="168749"/>
        </w:rPr>
        <w:t>value</w:t>
      </w:r>
      <w:r>
        <w:rPr>
          <w:color w:val="168749"/>
          <w:spacing w:val="-6"/>
        </w:rPr>
        <w:t> </w:t>
      </w:r>
      <w:r>
        <w:rPr>
          <w:color w:val="168749"/>
        </w:rPr>
        <w:t>chain </w:t>
      </w:r>
      <w:r>
        <w:rPr>
          <w:color w:val="168749"/>
          <w:spacing w:val="-2"/>
        </w:rPr>
        <w:t>coverage.</w:t>
      </w:r>
    </w:p>
    <w:p>
      <w:pPr>
        <w:pStyle w:val="Heading3"/>
        <w:spacing w:line="302" w:lineRule="auto" w:before="118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Inventory </w:t>
            </w:r>
            <w:r>
              <w:rPr>
                <w:color w:val="151F34"/>
                <w:spacing w:val="-2"/>
                <w:sz w:val="17"/>
              </w:rPr>
              <w:t>Boundary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Calculation </w:t>
      </w:r>
      <w:r>
        <w:rPr>
          <w:color w:val="151F34"/>
          <w:spacing w:val="-2"/>
        </w:rPr>
        <w:t>Methodology</w:t>
      </w:r>
    </w:p>
    <w:p>
      <w:pPr>
        <w:pStyle w:val="Heading2"/>
        <w:spacing w:before="213"/>
      </w:pPr>
      <w:r>
        <w:rPr>
          <w:color w:val="168749"/>
        </w:rPr>
        <w:t>Activity data, factor source, calculation workbook and review </w:t>
      </w:r>
      <w:r>
        <w:rPr>
          <w:color w:val="168749"/>
          <w:spacing w:val="-2"/>
        </w:rPr>
        <w:t>controls.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Methodology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Controls and </w:t>
      </w:r>
      <w:r>
        <w:rPr>
          <w:color w:val="151F34"/>
          <w:spacing w:val="-2"/>
        </w:rPr>
        <w:t>Assurance</w:t>
      </w:r>
    </w:p>
    <w:p>
      <w:pPr>
        <w:pStyle w:val="Heading2"/>
        <w:spacing w:before="213"/>
      </w:pPr>
      <w:r>
        <w:rPr>
          <w:color w:val="168749"/>
        </w:rPr>
        <w:t>Audit trail, evidence pack and assurance </w:t>
      </w:r>
      <w:r>
        <w:rPr>
          <w:color w:val="168749"/>
          <w:spacing w:val="-2"/>
        </w:rPr>
        <w:t>readiness.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Controls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Assurance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Management Report </w:t>
      </w:r>
      <w:r>
        <w:rPr>
          <w:color w:val="151F34"/>
          <w:spacing w:val="-2"/>
        </w:rPr>
        <w:t>Integration</w:t>
      </w:r>
    </w:p>
    <w:p>
      <w:pPr>
        <w:pStyle w:val="Heading2"/>
        <w:spacing w:before="213"/>
      </w:pPr>
      <w:r>
        <w:rPr>
          <w:color w:val="168749"/>
        </w:rPr>
        <w:t>Placement notes for Lagebericht / management report </w:t>
      </w:r>
      <w:r>
        <w:rPr>
          <w:color w:val="168749"/>
          <w:spacing w:val="-2"/>
        </w:rPr>
        <w:t>integration.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Integration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Transition </w:t>
      </w:r>
      <w:r>
        <w:rPr>
          <w:color w:val="151F34"/>
          <w:spacing w:val="-4"/>
        </w:rPr>
        <w:t>Plan</w:t>
      </w:r>
    </w:p>
    <w:p>
      <w:pPr>
        <w:pStyle w:val="Heading2"/>
        <w:spacing w:before="213"/>
      </w:pPr>
      <w:r>
        <w:rPr>
          <w:color w:val="168749"/>
        </w:rPr>
        <w:t>Decarbonisation actions and target </w:t>
      </w:r>
      <w:r>
        <w:rPr>
          <w:color w:val="168749"/>
          <w:spacing w:val="-2"/>
        </w:rPr>
        <w:t>pathway.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Transition </w:t>
            </w:r>
            <w:r>
              <w:rPr>
                <w:color w:val="151F34"/>
                <w:spacing w:val="-4"/>
                <w:sz w:val="17"/>
              </w:rPr>
              <w:t>Plan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Compliance </w:t>
      </w:r>
      <w:r>
        <w:rPr>
          <w:color w:val="151F34"/>
          <w:spacing w:val="-2"/>
        </w:rPr>
        <w:t>Checklist</w:t>
      </w:r>
    </w:p>
    <w:p>
      <w:pPr>
        <w:pStyle w:val="Heading2"/>
        <w:spacing w:before="213"/>
      </w:pPr>
      <w:r>
        <w:rPr>
          <w:color w:val="168749"/>
        </w:rPr>
        <w:t>ESRS climate disclosure completion </w:t>
      </w:r>
      <w:r>
        <w:rPr>
          <w:color w:val="168749"/>
          <w:spacing w:val="-2"/>
        </w:rPr>
        <w:t>status.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Compliance </w:t>
            </w:r>
            <w:r>
              <w:rPr>
                <w:color w:val="151F34"/>
                <w:spacing w:val="-2"/>
                <w:sz w:val="17"/>
              </w:rPr>
              <w:t>Checklist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Appendix</w:t>
      </w:r>
    </w:p>
    <w:p>
      <w:pPr>
        <w:pStyle w:val="Heading2"/>
        <w:spacing w:before="213"/>
      </w:pPr>
      <w:r>
        <w:rPr>
          <w:color w:val="168749"/>
        </w:rPr>
        <w:t>Glossary, assumptions and data request </w:t>
      </w:r>
      <w:r>
        <w:rPr>
          <w:color w:val="168749"/>
          <w:spacing w:val="-2"/>
        </w:rPr>
        <w:t>list.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Germany.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E1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with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German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management report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21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Appendix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sectPr>
      <w:pgSz w:w="11910" w:h="16840"/>
      <w:pgMar w:header="0" w:footer="512" w:top="102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328422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84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97285"/>
                            </w:rPr>
                            <w:t>Strictly Confidential. Powered by CarbonSynq Earth AI Data </w:t>
                          </w:r>
                          <w:r>
                            <w:rPr>
                              <w:color w:val="697285"/>
                              <w:spacing w:val="-2"/>
                            </w:rPr>
                            <w:t>Engine.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58.6pt;height:11.5pt;mso-position-horizontal-relative:page;mso-position-vertical-relative:page;z-index:-1639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97285"/>
                      </w:rPr>
                      <w:t>Strictly Confidential. Powered by CarbonSynq Earth AI Data </w:t>
                    </w:r>
                    <w:r>
                      <w:rPr>
                        <w:color w:val="697285"/>
                        <w:spacing w:val="-2"/>
                      </w:rPr>
                      <w:t>Engine.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281495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8149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CSRD / ESRS E1 with German management report </w:t>
                          </w:r>
                          <w:r>
                            <w:rPr>
                              <w:color w:val="697285"/>
                              <w:spacing w:val="-2"/>
                              <w:sz w:val="16"/>
                            </w:rPr>
                            <w:t>readiness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301147pt;width:221.65pt;height:10.95pt;mso-position-horizontal-relative:page;mso-position-vertical-relative:page;z-index:-1639577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CSRD / ESRS E1 with German management report </w:t>
                    </w:r>
                    <w:r>
                      <w:rPr>
                        <w:color w:val="697285"/>
                        <w:spacing w:val="-2"/>
                        <w:sz w:val="16"/>
                      </w:rPr>
                      <w:t>readiness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6520840</wp:posOffset>
              </wp:positionH>
              <wp:positionV relativeFrom="page">
                <wp:posOffset>10227324</wp:posOffset>
              </wp:positionV>
              <wp:extent cx="4425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52026pt;margin-top:805.301147pt;width:34.85pt;height:10.95pt;mso-position-horizontal-relative:page;mso-position-vertical-relative:page;z-index:-1639526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Page 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560309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4833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647999"/>
                            </a:lnTo>
                            <a:lnTo>
                              <a:pt x="7560000" y="64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87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51pt;width:595.275600pt;height:51.02362pt;mso-position-horizontal-relative:page;mso-position-vertical-relative:page;z-index:-16397312" id="docshape6" filled="true" fillcolor="#16874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635299</wp:posOffset>
              </wp:positionH>
              <wp:positionV relativeFrom="page">
                <wp:posOffset>261827</wp:posOffset>
              </wp:positionV>
              <wp:extent cx="2319020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3190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CarbonSynq Earth | Germany Demo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20.616310pt;width:182.6pt;height:12.1pt;mso-position-horizontal-relative:page;mso-position-vertical-relative:page;z-index:-1639680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CarbonSynq Earth | Germany Demo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Client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4835728</wp:posOffset>
              </wp:positionH>
              <wp:positionV relativeFrom="page">
                <wp:posOffset>267575</wp:posOffset>
              </wp:positionV>
              <wp:extent cx="2089150" cy="146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8915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Germany CSRD and ESRS Climate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765991pt;margin-top:21.068947pt;width:164.5pt;height:11.5pt;mso-position-horizontal-relative:page;mso-position-vertical-relative:page;z-index:-163962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>Germany CSRD and ESRS Climate </w:t>
                    </w:r>
                    <w:r>
                      <w:rPr>
                        <w:color w:val="FFFFFF"/>
                        <w:spacing w:val="-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1140" w:right="1471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0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8" w:hanging="1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2026-07-10T13:07:51Z</dcterms:created>
  <dcterms:modified xsi:type="dcterms:W3CDTF">2026-07-10T13:07:51Z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