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8"/>
        </w:rPr>
      </w:pPr>
      <w:r>
        <w:rPr>
          <w:rFonts w:ascii="Times New Roman"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8056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980564"/>
                          <a:chExt cx="7560309" cy="198056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8056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999"/>
                                </a:lnTo>
                                <a:lnTo>
                                  <a:pt x="7560000" y="197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7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980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6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Arial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2"/>
                                </w:rPr>
                                <w:t>CarbonSynq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2"/>
                                </w:rPr>
                                <w:t>Earth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155.950pt;mso-position-horizontal-relative:page;mso-position-vertical-relative:page;z-index:15729152" id="docshapegroup2" coordorigin="0,0" coordsize="11906,3119">
                <v:rect style="position:absolute;left:0;top:0;width:11906;height:3119" id="docshape3" filled="true" fillcolor="#168749" stroked="false">
                  <v:fill type="solid"/>
                </v:rect>
                <v:shape style="position:absolute;left:0;top:0;width:11906;height:3119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576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Arial"/>
                            <w:b/>
                            <w:sz w:val="6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2"/>
                          </w:rPr>
                          <w:t>CarbonSynq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2"/>
                          </w:rPr>
                          <w:t>Earth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spacing w:before="485"/>
        <w:rPr>
          <w:rFonts w:ascii="Times New Roman"/>
          <w:sz w:val="58"/>
        </w:rPr>
      </w:pPr>
    </w:p>
    <w:p>
      <w:pPr>
        <w:pStyle w:val="Title"/>
        <w:spacing w:line="244" w:lineRule="auto"/>
      </w:pPr>
      <w:r>
        <w:rPr>
          <w:color w:val="151F34"/>
        </w:rPr>
        <w:t>Malaysia</w:t>
      </w:r>
      <w:r>
        <w:rPr>
          <w:color w:val="151F34"/>
          <w:spacing w:val="-17"/>
        </w:rPr>
        <w:t> </w:t>
      </w:r>
      <w:r>
        <w:rPr>
          <w:color w:val="151F34"/>
        </w:rPr>
        <w:t>Sustainability</w:t>
      </w:r>
      <w:r>
        <w:rPr>
          <w:color w:val="151F34"/>
          <w:spacing w:val="-17"/>
        </w:rPr>
        <w:t> </w:t>
      </w:r>
      <w:r>
        <w:rPr>
          <w:color w:val="151F34"/>
        </w:rPr>
        <w:t>and Climate Report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2520000</wp:posOffset>
                </wp:positionH>
                <wp:positionV relativeFrom="paragraph">
                  <wp:posOffset>190947</wp:posOffset>
                </wp:positionV>
                <wp:extent cx="2520315" cy="793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2031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79375">
                              <a:moveTo>
                                <a:pt x="2520000" y="0"/>
                              </a:moveTo>
                              <a:lnTo>
                                <a:pt x="0" y="0"/>
                              </a:lnTo>
                              <a:lnTo>
                                <a:pt x="0" y="79199"/>
                              </a:lnTo>
                              <a:lnTo>
                                <a:pt x="2520000" y="79199"/>
                              </a:lnTo>
                              <a:lnTo>
                                <a:pt x="252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87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25201pt;margin-top:15.035222pt;width:198.4252pt;height:6.23622pt;mso-position-horizontal-relative:page;mso-position-vertical-relative:paragraph;z-index:-15728640;mso-wrap-distance-left:0;mso-wrap-distance-right:0" id="docshape5" filled="true" fillcolor="#1687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1140"/>
      </w:pPr>
      <w:r>
        <w:rPr>
          <w:color w:val="697285"/>
          <w:spacing w:val="-2"/>
        </w:rPr>
        <w:t>Prepared</w:t>
      </w:r>
      <w:r>
        <w:rPr>
          <w:color w:val="697285"/>
          <w:spacing w:val="1"/>
        </w:rPr>
        <w:t> </w:t>
      </w:r>
      <w:r>
        <w:rPr>
          <w:color w:val="697285"/>
          <w:spacing w:val="-4"/>
        </w:rPr>
        <w:t>for:</w:t>
      </w:r>
    </w:p>
    <w:p>
      <w:pPr>
        <w:pStyle w:val="Heading3"/>
        <w:spacing w:before="33"/>
        <w:ind w:right="0"/>
      </w:pPr>
      <w:r>
        <w:rPr>
          <w:color w:val="151F34"/>
        </w:rPr>
        <w:t>CarbonSynq</w:t>
      </w:r>
      <w:r>
        <w:rPr>
          <w:color w:val="151F34"/>
          <w:spacing w:val="15"/>
        </w:rPr>
        <w:t> </w:t>
      </w:r>
      <w:r>
        <w:rPr>
          <w:color w:val="151F34"/>
        </w:rPr>
        <w:t>Earth</w:t>
      </w:r>
      <w:r>
        <w:rPr>
          <w:color w:val="151F34"/>
          <w:spacing w:val="16"/>
        </w:rPr>
        <w:t> </w:t>
      </w:r>
      <w:r>
        <w:rPr>
          <w:color w:val="151F34"/>
        </w:rPr>
        <w:t>Malaysia</w:t>
      </w:r>
      <w:r>
        <w:rPr>
          <w:color w:val="151F34"/>
          <w:spacing w:val="15"/>
        </w:rPr>
        <w:t> </w:t>
      </w:r>
      <w:r>
        <w:rPr>
          <w:color w:val="151F34"/>
        </w:rPr>
        <w:t>Demo</w:t>
      </w:r>
      <w:r>
        <w:rPr>
          <w:color w:val="151F34"/>
          <w:spacing w:val="16"/>
        </w:rPr>
        <w:t> </w:t>
      </w:r>
      <w:r>
        <w:rPr>
          <w:color w:val="151F34"/>
          <w:spacing w:val="-2"/>
        </w:rPr>
        <w:t>Client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Reporting</w:t>
      </w:r>
      <w:r>
        <w:rPr>
          <w:color w:val="697285"/>
          <w:spacing w:val="2"/>
        </w:rPr>
        <w:t> </w:t>
      </w:r>
      <w:r>
        <w:rPr>
          <w:color w:val="697285"/>
          <w:spacing w:val="-2"/>
        </w:rPr>
        <w:t>Method:</w:t>
      </w:r>
    </w:p>
    <w:p>
      <w:pPr>
        <w:pStyle w:val="Heading3"/>
        <w:spacing w:before="32"/>
        <w:ind w:right="0"/>
      </w:pPr>
      <w:r>
        <w:rPr>
          <w:color w:val="151F34"/>
        </w:rPr>
        <w:t>Bursa</w:t>
      </w:r>
      <w:r>
        <w:rPr>
          <w:color w:val="151F34"/>
          <w:spacing w:val="12"/>
        </w:rPr>
        <w:t> </w:t>
      </w:r>
      <w:r>
        <w:rPr>
          <w:color w:val="151F34"/>
        </w:rPr>
        <w:t>Malaysia</w:t>
      </w:r>
      <w:r>
        <w:rPr>
          <w:color w:val="151F34"/>
          <w:spacing w:val="13"/>
        </w:rPr>
        <w:t> </w:t>
      </w:r>
      <w:r>
        <w:rPr>
          <w:color w:val="151F34"/>
        </w:rPr>
        <w:t>Sustainability</w:t>
      </w:r>
      <w:r>
        <w:rPr>
          <w:color w:val="151F34"/>
          <w:spacing w:val="13"/>
        </w:rPr>
        <w:t> </w:t>
      </w:r>
      <w:r>
        <w:rPr>
          <w:color w:val="151F34"/>
        </w:rPr>
        <w:t>Reporting</w:t>
      </w:r>
      <w:r>
        <w:rPr>
          <w:color w:val="151F34"/>
          <w:spacing w:val="13"/>
        </w:rPr>
        <w:t> </w:t>
      </w:r>
      <w:r>
        <w:rPr>
          <w:color w:val="151F34"/>
        </w:rPr>
        <w:t>Guide,</w:t>
      </w:r>
      <w:r>
        <w:rPr>
          <w:color w:val="151F34"/>
          <w:spacing w:val="13"/>
        </w:rPr>
        <w:t> </w:t>
      </w:r>
      <w:r>
        <w:rPr>
          <w:color w:val="151F34"/>
        </w:rPr>
        <w:t>NSRF</w:t>
      </w:r>
      <w:r>
        <w:rPr>
          <w:color w:val="151F34"/>
          <w:spacing w:val="12"/>
        </w:rPr>
        <w:t> </w:t>
      </w:r>
      <w:r>
        <w:rPr>
          <w:color w:val="151F34"/>
        </w:rPr>
        <w:t>/</w:t>
      </w:r>
      <w:r>
        <w:rPr>
          <w:color w:val="151F34"/>
          <w:spacing w:val="13"/>
        </w:rPr>
        <w:t> </w:t>
      </w:r>
      <w:r>
        <w:rPr>
          <w:color w:val="151F34"/>
        </w:rPr>
        <w:t>ISSB</w:t>
      </w:r>
      <w:r>
        <w:rPr>
          <w:color w:val="151F34"/>
          <w:spacing w:val="13"/>
        </w:rPr>
        <w:t> </w:t>
      </w:r>
      <w:r>
        <w:rPr>
          <w:color w:val="151F34"/>
        </w:rPr>
        <w:t>IFRS</w:t>
      </w:r>
      <w:r>
        <w:rPr>
          <w:color w:val="151F34"/>
          <w:spacing w:val="13"/>
        </w:rPr>
        <w:t> </w:t>
      </w:r>
      <w:r>
        <w:rPr>
          <w:color w:val="151F34"/>
        </w:rPr>
        <w:t>S1-S2</w:t>
      </w:r>
      <w:r>
        <w:rPr>
          <w:color w:val="151F34"/>
          <w:spacing w:val="13"/>
        </w:rPr>
        <w:t> </w:t>
      </w:r>
      <w:r>
        <w:rPr>
          <w:color w:val="151F34"/>
        </w:rPr>
        <w:t>readiness</w:t>
      </w:r>
      <w:r>
        <w:rPr>
          <w:color w:val="151F34"/>
          <w:spacing w:val="12"/>
        </w:rPr>
        <w:t> </w:t>
      </w:r>
      <w:r>
        <w:rPr>
          <w:color w:val="151F34"/>
        </w:rPr>
        <w:t>and</w:t>
      </w:r>
      <w:r>
        <w:rPr>
          <w:color w:val="151F34"/>
          <w:spacing w:val="13"/>
        </w:rPr>
        <w:t> </w:t>
      </w:r>
      <w:r>
        <w:rPr>
          <w:color w:val="151F34"/>
        </w:rPr>
        <w:t>GHG</w:t>
      </w:r>
      <w:r>
        <w:rPr>
          <w:color w:val="151F34"/>
          <w:spacing w:val="13"/>
        </w:rPr>
        <w:t> </w:t>
      </w:r>
      <w:r>
        <w:rPr>
          <w:color w:val="151F34"/>
          <w:spacing w:val="-2"/>
        </w:rPr>
        <w:t>Protocol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Generated</w:t>
      </w:r>
      <w:r>
        <w:rPr>
          <w:color w:val="697285"/>
        </w:rPr>
        <w:t> </w:t>
      </w:r>
      <w:r>
        <w:rPr>
          <w:color w:val="697285"/>
          <w:spacing w:val="-5"/>
        </w:rPr>
        <w:t>on:</w:t>
      </w:r>
    </w:p>
    <w:p>
      <w:pPr>
        <w:spacing w:before="33"/>
        <w:ind w:left="1140" w:right="0" w:firstLine="0"/>
        <w:jc w:val="left"/>
        <w:rPr>
          <w:sz w:val="20"/>
        </w:rPr>
      </w:pPr>
      <w:r>
        <w:rPr>
          <w:color w:val="151F34"/>
          <w:sz w:val="20"/>
        </w:rPr>
        <w:t>10</w:t>
      </w:r>
      <w:r>
        <w:rPr>
          <w:color w:val="151F34"/>
          <w:spacing w:val="6"/>
          <w:sz w:val="20"/>
        </w:rPr>
        <w:t> </w:t>
      </w:r>
      <w:r>
        <w:rPr>
          <w:color w:val="151F34"/>
          <w:sz w:val="20"/>
        </w:rPr>
        <w:t>July</w:t>
      </w:r>
      <w:r>
        <w:rPr>
          <w:color w:val="151F34"/>
          <w:spacing w:val="7"/>
          <w:sz w:val="20"/>
        </w:rPr>
        <w:t> </w:t>
      </w:r>
      <w:r>
        <w:rPr>
          <w:color w:val="151F34"/>
          <w:spacing w:val="-4"/>
          <w:sz w:val="2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Heading2"/>
      </w:pPr>
      <w:r>
        <w:rPr>
          <w:color w:val="168749"/>
        </w:rPr>
        <w:t>Table of </w:t>
      </w:r>
      <w:r>
        <w:rPr>
          <w:color w:val="168749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92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Executive </w:t>
      </w:r>
      <w:r>
        <w:rPr>
          <w:color w:val="151F34"/>
          <w:spacing w:val="-2"/>
          <w:sz w:val="17"/>
        </w:rPr>
        <w:t>Summary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pacing w:val="-2"/>
          <w:sz w:val="17"/>
        </w:rPr>
        <w:t>Governance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Stakeholder and Materiality </w:t>
      </w:r>
      <w:r>
        <w:rPr>
          <w:color w:val="151F34"/>
          <w:spacing w:val="-2"/>
          <w:sz w:val="17"/>
        </w:rPr>
        <w:t>Review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Climate </w:t>
      </w:r>
      <w:r>
        <w:rPr>
          <w:color w:val="151F34"/>
          <w:spacing w:val="-2"/>
          <w:sz w:val="17"/>
        </w:rPr>
        <w:t>Resilience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Risk </w:t>
      </w:r>
      <w:r>
        <w:rPr>
          <w:color w:val="151F34"/>
          <w:spacing w:val="-2"/>
          <w:sz w:val="17"/>
        </w:rPr>
        <w:t>Management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GHG </w:t>
      </w:r>
      <w:r>
        <w:rPr>
          <w:color w:val="151F34"/>
          <w:spacing w:val="-2"/>
          <w:sz w:val="17"/>
        </w:rPr>
        <w:t>Inventory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footerReference w:type="default" r:id="rId5"/>
          <w:type w:val="continuous"/>
          <w:pgSz w:w="11910" w:h="16840"/>
          <w:pgMar w:header="0" w:footer="521" w:top="0" w:bottom="720" w:left="0" w:right="0"/>
          <w:pgNumType w:start="1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Table of </w:t>
      </w:r>
      <w:r>
        <w:rPr>
          <w:color w:val="151F34"/>
          <w:spacing w:val="-2"/>
        </w:rPr>
        <w:t>Contents</w:t>
      </w:r>
    </w:p>
    <w:p>
      <w:pPr>
        <w:pStyle w:val="Heading2"/>
        <w:spacing w:before="213"/>
      </w:pPr>
      <w:r>
        <w:rPr>
          <w:color w:val="168749"/>
        </w:rPr>
        <w:t>Complete section list for the </w:t>
      </w:r>
      <w:r>
        <w:rPr>
          <w:color w:val="168749"/>
          <w:spacing w:val="-2"/>
        </w:rPr>
        <w:t>report.</w:t>
      </w: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23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Executive </w:t>
      </w:r>
      <w:r>
        <w:rPr>
          <w:color w:val="151F34"/>
          <w:spacing w:val="-2"/>
          <w:sz w:val="17"/>
        </w:rPr>
        <w:t>Summary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pacing w:val="-2"/>
          <w:sz w:val="17"/>
        </w:rPr>
        <w:t>Governance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Stakeholder and Materiality </w:t>
      </w:r>
      <w:r>
        <w:rPr>
          <w:color w:val="151F34"/>
          <w:spacing w:val="-2"/>
          <w:sz w:val="17"/>
        </w:rPr>
        <w:t>Review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Climate </w:t>
      </w:r>
      <w:r>
        <w:rPr>
          <w:color w:val="151F34"/>
          <w:spacing w:val="-2"/>
          <w:sz w:val="17"/>
        </w:rPr>
        <w:t>Resilience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Risk </w:t>
      </w:r>
      <w:r>
        <w:rPr>
          <w:color w:val="151F34"/>
          <w:spacing w:val="-2"/>
          <w:sz w:val="17"/>
        </w:rPr>
        <w:t>Management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GHG </w:t>
      </w:r>
      <w:r>
        <w:rPr>
          <w:color w:val="151F34"/>
          <w:spacing w:val="-2"/>
          <w:sz w:val="17"/>
        </w:rPr>
        <w:t>Inventory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Energy and </w:t>
      </w:r>
      <w:r>
        <w:rPr>
          <w:color w:val="151F34"/>
          <w:spacing w:val="-2"/>
          <w:sz w:val="17"/>
        </w:rPr>
        <w:t>Utilities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11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Scope 3 </w:t>
      </w:r>
      <w:r>
        <w:rPr>
          <w:color w:val="151F34"/>
          <w:spacing w:val="-2"/>
          <w:sz w:val="17"/>
        </w:rPr>
        <w:t>Readiness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12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Common Sustainability </w:t>
      </w:r>
      <w:r>
        <w:rPr>
          <w:color w:val="151F34"/>
          <w:spacing w:val="-2"/>
          <w:sz w:val="17"/>
        </w:rPr>
        <w:t>Matters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13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Transition </w:t>
      </w:r>
      <w:r>
        <w:rPr>
          <w:color w:val="151F34"/>
          <w:spacing w:val="-4"/>
          <w:sz w:val="17"/>
        </w:rPr>
        <w:t>Plan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14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Data Controls and </w:t>
      </w:r>
      <w:r>
        <w:rPr>
          <w:color w:val="151F34"/>
          <w:spacing w:val="-2"/>
          <w:sz w:val="17"/>
        </w:rPr>
        <w:t>Assurance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0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Compliance </w:t>
      </w:r>
      <w:r>
        <w:rPr>
          <w:color w:val="151F34"/>
          <w:spacing w:val="-2"/>
          <w:sz w:val="17"/>
        </w:rPr>
        <w:t>Checklist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0" w:after="0"/>
        <w:ind w:left="1842" w:right="0" w:hanging="283"/>
        <w:jc w:val="left"/>
        <w:rPr>
          <w:sz w:val="17"/>
        </w:rPr>
      </w:pPr>
      <w:r>
        <w:rPr>
          <w:color w:val="151F34"/>
          <w:spacing w:val="-2"/>
          <w:sz w:val="17"/>
        </w:rPr>
        <w:t>Appendix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17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headerReference w:type="default" r:id="rId6"/>
          <w:footerReference w:type="default" r:id="rId7"/>
          <w:pgSz w:w="11910" w:h="16840"/>
          <w:pgMar w:header="0" w:footer="512" w:top="1020" w:bottom="700" w:left="0" w:right="0"/>
          <w:pgNumType w:start="2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Executive </w:t>
      </w:r>
      <w:r>
        <w:rPr>
          <w:color w:val="151F34"/>
          <w:spacing w:val="-2"/>
        </w:rPr>
        <w:t>Summary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Board-ready</w:t>
      </w:r>
      <w:r>
        <w:rPr>
          <w:color w:val="168749"/>
          <w:spacing w:val="-5"/>
        </w:rPr>
        <w:t> </w:t>
      </w:r>
      <w:r>
        <w:rPr>
          <w:color w:val="168749"/>
        </w:rPr>
        <w:t>overview</w:t>
      </w:r>
      <w:r>
        <w:rPr>
          <w:color w:val="168749"/>
          <w:spacing w:val="-5"/>
        </w:rPr>
        <w:t> </w:t>
      </w:r>
      <w:r>
        <w:rPr>
          <w:color w:val="168749"/>
        </w:rPr>
        <w:t>of</w:t>
      </w:r>
      <w:r>
        <w:rPr>
          <w:color w:val="168749"/>
          <w:spacing w:val="-5"/>
        </w:rPr>
        <w:t> </w:t>
      </w:r>
      <w:r>
        <w:rPr>
          <w:color w:val="168749"/>
        </w:rPr>
        <w:t>sustainability,</w:t>
      </w:r>
      <w:r>
        <w:rPr>
          <w:color w:val="168749"/>
          <w:spacing w:val="-5"/>
        </w:rPr>
        <w:t> </w:t>
      </w:r>
      <w:r>
        <w:rPr>
          <w:color w:val="168749"/>
        </w:rPr>
        <w:t>climate</w:t>
      </w:r>
      <w:r>
        <w:rPr>
          <w:color w:val="168749"/>
          <w:spacing w:val="-5"/>
        </w:rPr>
        <w:t> </w:t>
      </w:r>
      <w:r>
        <w:rPr>
          <w:color w:val="168749"/>
        </w:rPr>
        <w:t>position</w:t>
      </w:r>
      <w:r>
        <w:rPr>
          <w:color w:val="168749"/>
          <w:spacing w:val="-5"/>
        </w:rPr>
        <w:t> </w:t>
      </w:r>
      <w:r>
        <w:rPr>
          <w:color w:val="168749"/>
        </w:rPr>
        <w:t>and</w:t>
      </w:r>
      <w:r>
        <w:rPr>
          <w:color w:val="168749"/>
          <w:spacing w:val="-5"/>
        </w:rPr>
        <w:t> </w:t>
      </w:r>
      <w:r>
        <w:rPr>
          <w:color w:val="168749"/>
        </w:rPr>
        <w:t>reporting </w:t>
      </w:r>
      <w:r>
        <w:rPr>
          <w:color w:val="168749"/>
          <w:spacing w:val="-2"/>
        </w:rPr>
        <w:t>readiness.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Executive </w:t>
            </w:r>
            <w:r>
              <w:rPr>
                <w:color w:val="151F34"/>
                <w:spacing w:val="-2"/>
                <w:sz w:val="17"/>
              </w:rPr>
              <w:t>Summary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Reporting </w:t>
      </w:r>
      <w:r>
        <w:rPr>
          <w:color w:val="151F34"/>
          <w:spacing w:val="-2"/>
        </w:rPr>
        <w:t>Basis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Bursa</w:t>
      </w:r>
      <w:r>
        <w:rPr>
          <w:color w:val="168749"/>
          <w:spacing w:val="-5"/>
        </w:rPr>
        <w:t> </w:t>
      </w:r>
      <w:r>
        <w:rPr>
          <w:color w:val="168749"/>
        </w:rPr>
        <w:t>Malaysia</w:t>
      </w:r>
      <w:r>
        <w:rPr>
          <w:color w:val="168749"/>
          <w:spacing w:val="-5"/>
        </w:rPr>
        <w:t> </w:t>
      </w:r>
      <w:r>
        <w:rPr>
          <w:color w:val="168749"/>
        </w:rPr>
        <w:t>sustainability</w:t>
      </w:r>
      <w:r>
        <w:rPr>
          <w:color w:val="168749"/>
          <w:spacing w:val="-5"/>
        </w:rPr>
        <w:t> </w:t>
      </w:r>
      <w:r>
        <w:rPr>
          <w:color w:val="168749"/>
        </w:rPr>
        <w:t>statement</w:t>
      </w:r>
      <w:r>
        <w:rPr>
          <w:color w:val="168749"/>
          <w:spacing w:val="-5"/>
        </w:rPr>
        <w:t> </w:t>
      </w:r>
      <w:r>
        <w:rPr>
          <w:color w:val="168749"/>
        </w:rPr>
        <w:t>structure,</w:t>
      </w:r>
      <w:r>
        <w:rPr>
          <w:color w:val="168749"/>
          <w:spacing w:val="-5"/>
        </w:rPr>
        <w:t> </w:t>
      </w:r>
      <w:r>
        <w:rPr>
          <w:color w:val="168749"/>
        </w:rPr>
        <w:t>NSRF</w:t>
      </w:r>
      <w:r>
        <w:rPr>
          <w:color w:val="168749"/>
          <w:spacing w:val="-5"/>
        </w:rPr>
        <w:t> </w:t>
      </w:r>
      <w:r>
        <w:rPr>
          <w:color w:val="168749"/>
        </w:rPr>
        <w:t>roadmap</w:t>
      </w:r>
      <w:r>
        <w:rPr>
          <w:color w:val="168749"/>
          <w:spacing w:val="-5"/>
        </w:rPr>
        <w:t> </w:t>
      </w:r>
      <w:r>
        <w:rPr>
          <w:color w:val="168749"/>
        </w:rPr>
        <w:t>and ISSB alignment.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Reporting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  <w:spacing w:val="-2"/>
        </w:rPr>
        <w:t>Governance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Board</w:t>
      </w:r>
      <w:r>
        <w:rPr>
          <w:color w:val="168749"/>
          <w:spacing w:val="-7"/>
        </w:rPr>
        <w:t> </w:t>
      </w:r>
      <w:r>
        <w:rPr>
          <w:color w:val="168749"/>
        </w:rPr>
        <w:t>oversight,</w:t>
      </w:r>
      <w:r>
        <w:rPr>
          <w:color w:val="168749"/>
          <w:spacing w:val="-7"/>
        </w:rPr>
        <w:t> </w:t>
      </w:r>
      <w:r>
        <w:rPr>
          <w:color w:val="168749"/>
        </w:rPr>
        <w:t>management</w:t>
      </w:r>
      <w:r>
        <w:rPr>
          <w:color w:val="168749"/>
          <w:spacing w:val="-7"/>
        </w:rPr>
        <w:t> </w:t>
      </w:r>
      <w:r>
        <w:rPr>
          <w:color w:val="168749"/>
        </w:rPr>
        <w:t>accountability</w:t>
      </w:r>
      <w:r>
        <w:rPr>
          <w:color w:val="168749"/>
          <w:spacing w:val="-7"/>
        </w:rPr>
        <w:t> </w:t>
      </w:r>
      <w:r>
        <w:rPr>
          <w:color w:val="168749"/>
        </w:rPr>
        <w:t>and</w:t>
      </w:r>
      <w:r>
        <w:rPr>
          <w:color w:val="168749"/>
          <w:spacing w:val="-7"/>
        </w:rPr>
        <w:t> </w:t>
      </w:r>
      <w:r>
        <w:rPr>
          <w:color w:val="168749"/>
        </w:rPr>
        <w:t>sustainability governance controls.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</w:t>
            </w:r>
            <w:r>
              <w:rPr>
                <w:color w:val="151F34"/>
                <w:spacing w:val="-2"/>
                <w:sz w:val="17"/>
              </w:rPr>
              <w:t>Governance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Stakeholder and Materiality </w:t>
      </w:r>
      <w:r>
        <w:rPr>
          <w:color w:val="151F34"/>
          <w:spacing w:val="-2"/>
        </w:rPr>
        <w:t>Review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Stakeholder</w:t>
      </w:r>
      <w:r>
        <w:rPr>
          <w:color w:val="168749"/>
          <w:spacing w:val="-7"/>
        </w:rPr>
        <w:t> </w:t>
      </w:r>
      <w:r>
        <w:rPr>
          <w:color w:val="168749"/>
        </w:rPr>
        <w:t>engagement,</w:t>
      </w:r>
      <w:r>
        <w:rPr>
          <w:color w:val="168749"/>
          <w:spacing w:val="-7"/>
        </w:rPr>
        <w:t> </w:t>
      </w:r>
      <w:r>
        <w:rPr>
          <w:color w:val="168749"/>
        </w:rPr>
        <w:t>material</w:t>
      </w:r>
      <w:r>
        <w:rPr>
          <w:color w:val="168749"/>
          <w:spacing w:val="-7"/>
        </w:rPr>
        <w:t> </w:t>
      </w:r>
      <w:r>
        <w:rPr>
          <w:color w:val="168749"/>
        </w:rPr>
        <w:t>sustainability</w:t>
      </w:r>
      <w:r>
        <w:rPr>
          <w:color w:val="168749"/>
          <w:spacing w:val="-7"/>
        </w:rPr>
        <w:t> </w:t>
      </w:r>
      <w:r>
        <w:rPr>
          <w:color w:val="168749"/>
        </w:rPr>
        <w:t>matters</w:t>
      </w:r>
      <w:r>
        <w:rPr>
          <w:color w:val="168749"/>
          <w:spacing w:val="-7"/>
        </w:rPr>
        <w:t> </w:t>
      </w:r>
      <w:r>
        <w:rPr>
          <w:color w:val="168749"/>
        </w:rPr>
        <w:t>and </w:t>
      </w:r>
      <w:r>
        <w:rPr>
          <w:color w:val="168749"/>
          <w:spacing w:val="-2"/>
        </w:rPr>
        <w:t>prioritisation.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Stakeholder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Materiality Review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Strategy and Climate </w:t>
      </w:r>
      <w:r>
        <w:rPr>
          <w:color w:val="151F34"/>
          <w:spacing w:val="-2"/>
        </w:rPr>
        <w:t>Resilience</w:t>
      </w:r>
    </w:p>
    <w:p>
      <w:pPr>
        <w:pStyle w:val="Heading2"/>
        <w:spacing w:before="213"/>
      </w:pPr>
      <w:r>
        <w:rPr>
          <w:color w:val="168749"/>
        </w:rPr>
        <w:t>Climate-related risks, opportunities and business resilience </w:t>
      </w:r>
      <w:r>
        <w:rPr>
          <w:color w:val="168749"/>
          <w:spacing w:val="-2"/>
        </w:rPr>
        <w:t>narrative.</w:t>
      </w:r>
    </w:p>
    <w:p>
      <w:pPr>
        <w:pStyle w:val="Heading3"/>
        <w:spacing w:line="302" w:lineRule="auto" w:before="157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Strategy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Climate Resilience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Risk </w:t>
      </w:r>
      <w:r>
        <w:rPr>
          <w:color w:val="151F34"/>
          <w:spacing w:val="-2"/>
        </w:rPr>
        <w:t>Management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Identification,</w:t>
      </w:r>
      <w:r>
        <w:rPr>
          <w:color w:val="168749"/>
          <w:spacing w:val="-6"/>
        </w:rPr>
        <w:t> </w:t>
      </w:r>
      <w:r>
        <w:rPr>
          <w:color w:val="168749"/>
        </w:rPr>
        <w:t>assessment</w:t>
      </w:r>
      <w:r>
        <w:rPr>
          <w:color w:val="168749"/>
          <w:spacing w:val="-6"/>
        </w:rPr>
        <w:t> </w:t>
      </w:r>
      <w:r>
        <w:rPr>
          <w:color w:val="168749"/>
        </w:rPr>
        <w:t>and</w:t>
      </w:r>
      <w:r>
        <w:rPr>
          <w:color w:val="168749"/>
          <w:spacing w:val="-6"/>
        </w:rPr>
        <w:t> </w:t>
      </w:r>
      <w:r>
        <w:rPr>
          <w:color w:val="168749"/>
        </w:rPr>
        <w:t>management</w:t>
      </w:r>
      <w:r>
        <w:rPr>
          <w:color w:val="168749"/>
          <w:spacing w:val="-6"/>
        </w:rPr>
        <w:t> </w:t>
      </w:r>
      <w:r>
        <w:rPr>
          <w:color w:val="168749"/>
        </w:rPr>
        <w:t>of</w:t>
      </w:r>
      <w:r>
        <w:rPr>
          <w:color w:val="168749"/>
          <w:spacing w:val="-6"/>
        </w:rPr>
        <w:t> </w:t>
      </w:r>
      <w:r>
        <w:rPr>
          <w:color w:val="168749"/>
        </w:rPr>
        <w:t>climate</w:t>
      </w:r>
      <w:r>
        <w:rPr>
          <w:color w:val="168749"/>
          <w:spacing w:val="-6"/>
        </w:rPr>
        <w:t> </w:t>
      </w:r>
      <w:r>
        <w:rPr>
          <w:color w:val="168749"/>
        </w:rPr>
        <w:t>and sustainability risks.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Risk </w:t>
            </w:r>
            <w:r>
              <w:rPr>
                <w:color w:val="151F34"/>
                <w:spacing w:val="-2"/>
                <w:sz w:val="17"/>
              </w:rPr>
              <w:t>Management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Metrics and </w:t>
      </w:r>
      <w:r>
        <w:rPr>
          <w:color w:val="151F34"/>
          <w:spacing w:val="-2"/>
        </w:rPr>
        <w:t>Targets</w:t>
      </w:r>
    </w:p>
    <w:p>
      <w:pPr>
        <w:pStyle w:val="Heading2"/>
        <w:spacing w:before="213"/>
      </w:pPr>
      <w:r>
        <w:rPr>
          <w:color w:val="168749"/>
        </w:rPr>
        <w:t>Scope 1, Scope 2, energy, intensity, targets and performance </w:t>
      </w:r>
      <w:r>
        <w:rPr>
          <w:color w:val="168749"/>
          <w:spacing w:val="-2"/>
        </w:rPr>
        <w:t>tracking.</w:t>
      </w:r>
    </w:p>
    <w:p>
      <w:pPr>
        <w:pStyle w:val="Heading3"/>
        <w:spacing w:line="302" w:lineRule="auto" w:before="157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Metrics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Targets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GHG </w:t>
      </w:r>
      <w:r>
        <w:rPr>
          <w:color w:val="151F34"/>
          <w:spacing w:val="-2"/>
        </w:rPr>
        <w:t>Inventory</w:t>
      </w:r>
    </w:p>
    <w:p>
      <w:pPr>
        <w:pStyle w:val="Heading2"/>
        <w:spacing w:before="213"/>
      </w:pPr>
      <w:r>
        <w:rPr>
          <w:color w:val="168749"/>
        </w:rPr>
        <w:t>GHG Protocol-aligned boundary, activity data and calculation </w:t>
      </w:r>
      <w:r>
        <w:rPr>
          <w:color w:val="168749"/>
          <w:spacing w:val="-2"/>
        </w:rPr>
        <w:t>basis.</w:t>
      </w:r>
    </w:p>
    <w:p>
      <w:pPr>
        <w:pStyle w:val="Heading3"/>
        <w:spacing w:line="302" w:lineRule="auto" w:before="157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GHG </w:t>
            </w:r>
            <w:r>
              <w:rPr>
                <w:color w:val="151F34"/>
                <w:spacing w:val="-2"/>
                <w:sz w:val="17"/>
              </w:rPr>
              <w:t>Inventory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Energy and </w:t>
      </w:r>
      <w:r>
        <w:rPr>
          <w:color w:val="151F34"/>
          <w:spacing w:val="-2"/>
        </w:rPr>
        <w:t>Utilities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Electricity</w:t>
      </w:r>
      <w:r>
        <w:rPr>
          <w:color w:val="168749"/>
          <w:spacing w:val="-6"/>
        </w:rPr>
        <w:t> </w:t>
      </w:r>
      <w:r>
        <w:rPr>
          <w:color w:val="168749"/>
        </w:rPr>
        <w:t>consumption,</w:t>
      </w:r>
      <w:r>
        <w:rPr>
          <w:color w:val="168749"/>
          <w:spacing w:val="-6"/>
        </w:rPr>
        <w:t> </w:t>
      </w:r>
      <w:r>
        <w:rPr>
          <w:color w:val="168749"/>
        </w:rPr>
        <w:t>energy</w:t>
      </w:r>
      <w:r>
        <w:rPr>
          <w:color w:val="168749"/>
          <w:spacing w:val="-6"/>
        </w:rPr>
        <w:t> </w:t>
      </w:r>
      <w:r>
        <w:rPr>
          <w:color w:val="168749"/>
        </w:rPr>
        <w:t>efficiency</w:t>
      </w:r>
      <w:r>
        <w:rPr>
          <w:color w:val="168749"/>
          <w:spacing w:val="-6"/>
        </w:rPr>
        <w:t> </w:t>
      </w:r>
      <w:r>
        <w:rPr>
          <w:color w:val="168749"/>
        </w:rPr>
        <w:t>actions</w:t>
      </w:r>
      <w:r>
        <w:rPr>
          <w:color w:val="168749"/>
          <w:spacing w:val="-6"/>
        </w:rPr>
        <w:t> </w:t>
      </w:r>
      <w:r>
        <w:rPr>
          <w:color w:val="168749"/>
        </w:rPr>
        <w:t>and</w:t>
      </w:r>
      <w:r>
        <w:rPr>
          <w:color w:val="168749"/>
          <w:spacing w:val="-6"/>
        </w:rPr>
        <w:t> </w:t>
      </w:r>
      <w:r>
        <w:rPr>
          <w:color w:val="168749"/>
        </w:rPr>
        <w:t>monitoring </w:t>
      </w:r>
      <w:r>
        <w:rPr>
          <w:color w:val="168749"/>
          <w:spacing w:val="-2"/>
        </w:rPr>
        <w:t>controls.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Energy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Utilities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Scope 3 </w:t>
      </w:r>
      <w:r>
        <w:rPr>
          <w:color w:val="151F34"/>
          <w:spacing w:val="-2"/>
        </w:rPr>
        <w:t>Readiness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Purchased</w:t>
      </w:r>
      <w:r>
        <w:rPr>
          <w:color w:val="168749"/>
          <w:spacing w:val="-5"/>
        </w:rPr>
        <w:t> </w:t>
      </w:r>
      <w:r>
        <w:rPr>
          <w:color w:val="168749"/>
        </w:rPr>
        <w:t>goods,</w:t>
      </w:r>
      <w:r>
        <w:rPr>
          <w:color w:val="168749"/>
          <w:spacing w:val="-5"/>
        </w:rPr>
        <w:t> </w:t>
      </w:r>
      <w:r>
        <w:rPr>
          <w:color w:val="168749"/>
        </w:rPr>
        <w:t>logistics,</w:t>
      </w:r>
      <w:r>
        <w:rPr>
          <w:color w:val="168749"/>
          <w:spacing w:val="-5"/>
        </w:rPr>
        <w:t> </w:t>
      </w:r>
      <w:r>
        <w:rPr>
          <w:color w:val="168749"/>
        </w:rPr>
        <w:t>travel,</w:t>
      </w:r>
      <w:r>
        <w:rPr>
          <w:color w:val="168749"/>
          <w:spacing w:val="-5"/>
        </w:rPr>
        <w:t> </w:t>
      </w:r>
      <w:r>
        <w:rPr>
          <w:color w:val="168749"/>
        </w:rPr>
        <w:t>waste</w:t>
      </w:r>
      <w:r>
        <w:rPr>
          <w:color w:val="168749"/>
          <w:spacing w:val="-5"/>
        </w:rPr>
        <w:t> </w:t>
      </w:r>
      <w:r>
        <w:rPr>
          <w:color w:val="168749"/>
        </w:rPr>
        <w:t>and</w:t>
      </w:r>
      <w:r>
        <w:rPr>
          <w:color w:val="168749"/>
          <w:spacing w:val="-5"/>
        </w:rPr>
        <w:t> </w:t>
      </w:r>
      <w:r>
        <w:rPr>
          <w:color w:val="168749"/>
        </w:rPr>
        <w:t>supplier</w:t>
      </w:r>
      <w:r>
        <w:rPr>
          <w:color w:val="168749"/>
          <w:spacing w:val="-5"/>
        </w:rPr>
        <w:t> </w:t>
      </w:r>
      <w:r>
        <w:rPr>
          <w:color w:val="168749"/>
        </w:rPr>
        <w:t>data</w:t>
      </w:r>
      <w:r>
        <w:rPr>
          <w:color w:val="168749"/>
          <w:spacing w:val="-5"/>
        </w:rPr>
        <w:t> </w:t>
      </w:r>
      <w:r>
        <w:rPr>
          <w:color w:val="168749"/>
        </w:rPr>
        <w:t>expansion </w:t>
      </w:r>
      <w:r>
        <w:rPr>
          <w:color w:val="168749"/>
          <w:spacing w:val="-2"/>
        </w:rPr>
        <w:t>plan.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Scope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3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Common Sustainability </w:t>
      </w:r>
      <w:r>
        <w:rPr>
          <w:color w:val="151F34"/>
          <w:spacing w:val="-2"/>
        </w:rPr>
        <w:t>Matters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Bursa-aligned</w:t>
      </w:r>
      <w:r>
        <w:rPr>
          <w:color w:val="168749"/>
          <w:spacing w:val="-5"/>
        </w:rPr>
        <w:t> </w:t>
      </w:r>
      <w:r>
        <w:rPr>
          <w:color w:val="168749"/>
        </w:rPr>
        <w:t>themes</w:t>
      </w:r>
      <w:r>
        <w:rPr>
          <w:color w:val="168749"/>
          <w:spacing w:val="-5"/>
        </w:rPr>
        <w:t> </w:t>
      </w:r>
      <w:r>
        <w:rPr>
          <w:color w:val="168749"/>
        </w:rPr>
        <w:t>including</w:t>
      </w:r>
      <w:r>
        <w:rPr>
          <w:color w:val="168749"/>
          <w:spacing w:val="-5"/>
        </w:rPr>
        <w:t> </w:t>
      </w:r>
      <w:r>
        <w:rPr>
          <w:color w:val="168749"/>
        </w:rPr>
        <w:t>emissions,</w:t>
      </w:r>
      <w:r>
        <w:rPr>
          <w:color w:val="168749"/>
          <w:spacing w:val="-5"/>
        </w:rPr>
        <w:t> </w:t>
      </w:r>
      <w:r>
        <w:rPr>
          <w:color w:val="168749"/>
        </w:rPr>
        <w:t>energy,</w:t>
      </w:r>
      <w:r>
        <w:rPr>
          <w:color w:val="168749"/>
          <w:spacing w:val="-5"/>
        </w:rPr>
        <w:t> </w:t>
      </w:r>
      <w:r>
        <w:rPr>
          <w:color w:val="168749"/>
        </w:rPr>
        <w:t>waste</w:t>
      </w:r>
      <w:r>
        <w:rPr>
          <w:color w:val="168749"/>
          <w:spacing w:val="-5"/>
        </w:rPr>
        <w:t> </w:t>
      </w:r>
      <w:r>
        <w:rPr>
          <w:color w:val="168749"/>
        </w:rPr>
        <w:t>and</w:t>
      </w:r>
      <w:r>
        <w:rPr>
          <w:color w:val="168749"/>
          <w:spacing w:val="-5"/>
        </w:rPr>
        <w:t> </w:t>
      </w:r>
      <w:r>
        <w:rPr>
          <w:color w:val="168749"/>
        </w:rPr>
        <w:t>labour </w:t>
      </w:r>
      <w:r>
        <w:rPr>
          <w:color w:val="168749"/>
          <w:spacing w:val="-2"/>
        </w:rPr>
        <w:t>indicators.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Common Sustainability Matters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Transition </w:t>
      </w:r>
      <w:r>
        <w:rPr>
          <w:color w:val="151F34"/>
          <w:spacing w:val="-4"/>
        </w:rPr>
        <w:t>Plan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Decarbonisation</w:t>
      </w:r>
      <w:r>
        <w:rPr>
          <w:color w:val="168749"/>
          <w:spacing w:val="-7"/>
        </w:rPr>
        <w:t> </w:t>
      </w:r>
      <w:r>
        <w:rPr>
          <w:color w:val="168749"/>
        </w:rPr>
        <w:t>roadmap,</w:t>
      </w:r>
      <w:r>
        <w:rPr>
          <w:color w:val="168749"/>
          <w:spacing w:val="-7"/>
        </w:rPr>
        <w:t> </w:t>
      </w:r>
      <w:r>
        <w:rPr>
          <w:color w:val="168749"/>
        </w:rPr>
        <w:t>milestones,</w:t>
      </w:r>
      <w:r>
        <w:rPr>
          <w:color w:val="168749"/>
          <w:spacing w:val="-7"/>
        </w:rPr>
        <w:t> </w:t>
      </w:r>
      <w:r>
        <w:rPr>
          <w:color w:val="168749"/>
        </w:rPr>
        <w:t>ownership</w:t>
      </w:r>
      <w:r>
        <w:rPr>
          <w:color w:val="168749"/>
          <w:spacing w:val="-7"/>
        </w:rPr>
        <w:t> </w:t>
      </w:r>
      <w:r>
        <w:rPr>
          <w:color w:val="168749"/>
        </w:rPr>
        <w:t>and</w:t>
      </w:r>
      <w:r>
        <w:rPr>
          <w:color w:val="168749"/>
          <w:spacing w:val="-7"/>
        </w:rPr>
        <w:t> </w:t>
      </w:r>
      <w:r>
        <w:rPr>
          <w:color w:val="168749"/>
        </w:rPr>
        <w:t>financing </w:t>
      </w:r>
      <w:r>
        <w:rPr>
          <w:color w:val="168749"/>
          <w:spacing w:val="-2"/>
        </w:rPr>
        <w:t>considerations.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Transition </w:t>
            </w:r>
            <w:r>
              <w:rPr>
                <w:color w:val="151F34"/>
                <w:spacing w:val="-4"/>
                <w:sz w:val="17"/>
              </w:rPr>
              <w:t>Plan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Data Controls and </w:t>
      </w:r>
      <w:r>
        <w:rPr>
          <w:color w:val="151F34"/>
          <w:spacing w:val="-2"/>
        </w:rPr>
        <w:t>Assurance</w:t>
      </w:r>
    </w:p>
    <w:p>
      <w:pPr>
        <w:pStyle w:val="Heading2"/>
        <w:spacing w:line="268" w:lineRule="auto" w:before="213"/>
        <w:ind w:right="1194"/>
      </w:pPr>
      <w:r>
        <w:rPr>
          <w:color w:val="168749"/>
        </w:rPr>
        <w:t>Evidence</w:t>
      </w:r>
      <w:r>
        <w:rPr>
          <w:color w:val="168749"/>
          <w:spacing w:val="-5"/>
        </w:rPr>
        <w:t> </w:t>
      </w:r>
      <w:r>
        <w:rPr>
          <w:color w:val="168749"/>
        </w:rPr>
        <w:t>pack,</w:t>
      </w:r>
      <w:r>
        <w:rPr>
          <w:color w:val="168749"/>
          <w:spacing w:val="-5"/>
        </w:rPr>
        <w:t> </w:t>
      </w:r>
      <w:r>
        <w:rPr>
          <w:color w:val="168749"/>
        </w:rPr>
        <w:t>reviewer</w:t>
      </w:r>
      <w:r>
        <w:rPr>
          <w:color w:val="168749"/>
          <w:spacing w:val="-5"/>
        </w:rPr>
        <w:t> </w:t>
      </w:r>
      <w:r>
        <w:rPr>
          <w:color w:val="168749"/>
        </w:rPr>
        <w:t>sign-off,</w:t>
      </w:r>
      <w:r>
        <w:rPr>
          <w:color w:val="168749"/>
          <w:spacing w:val="-5"/>
        </w:rPr>
        <w:t> </w:t>
      </w:r>
      <w:r>
        <w:rPr>
          <w:color w:val="168749"/>
        </w:rPr>
        <w:t>internal</w:t>
      </w:r>
      <w:r>
        <w:rPr>
          <w:color w:val="168749"/>
          <w:spacing w:val="-5"/>
        </w:rPr>
        <w:t> </w:t>
      </w:r>
      <w:r>
        <w:rPr>
          <w:color w:val="168749"/>
        </w:rPr>
        <w:t>control</w:t>
      </w:r>
      <w:r>
        <w:rPr>
          <w:color w:val="168749"/>
          <w:spacing w:val="-5"/>
        </w:rPr>
        <w:t> </w:t>
      </w:r>
      <w:r>
        <w:rPr>
          <w:color w:val="168749"/>
        </w:rPr>
        <w:t>and</w:t>
      </w:r>
      <w:r>
        <w:rPr>
          <w:color w:val="168749"/>
          <w:spacing w:val="-5"/>
        </w:rPr>
        <w:t> </w:t>
      </w:r>
      <w:r>
        <w:rPr>
          <w:color w:val="168749"/>
        </w:rPr>
        <w:t>assurance </w:t>
      </w:r>
      <w:r>
        <w:rPr>
          <w:color w:val="168749"/>
          <w:spacing w:val="-2"/>
        </w:rPr>
        <w:t>readiness.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Controls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Assurance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Compliance </w:t>
      </w:r>
      <w:r>
        <w:rPr>
          <w:color w:val="151F34"/>
          <w:spacing w:val="-2"/>
        </w:rPr>
        <w:t>Checklist</w:t>
      </w:r>
    </w:p>
    <w:p>
      <w:pPr>
        <w:pStyle w:val="Heading2"/>
        <w:spacing w:before="213"/>
      </w:pPr>
      <w:r>
        <w:rPr>
          <w:color w:val="168749"/>
        </w:rPr>
        <w:t>Malaysia reporting checklist and completion </w:t>
      </w:r>
      <w:r>
        <w:rPr>
          <w:color w:val="168749"/>
          <w:spacing w:val="-2"/>
        </w:rPr>
        <w:t>status.</w:t>
      </w:r>
    </w:p>
    <w:p>
      <w:pPr>
        <w:pStyle w:val="Heading3"/>
        <w:spacing w:line="302" w:lineRule="auto" w:before="157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Compliance </w:t>
            </w:r>
            <w:r>
              <w:rPr>
                <w:color w:val="151F34"/>
                <w:spacing w:val="-2"/>
                <w:sz w:val="17"/>
              </w:rPr>
              <w:t>Checklist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  <w:spacing w:val="-2"/>
        </w:rPr>
        <w:t>Appendix</w:t>
      </w:r>
    </w:p>
    <w:p>
      <w:pPr>
        <w:pStyle w:val="Heading2"/>
        <w:spacing w:before="213"/>
      </w:pPr>
      <w:r>
        <w:rPr>
          <w:color w:val="168749"/>
        </w:rPr>
        <w:t>Glossary, assumptions, factor sources and client data request </w:t>
      </w:r>
      <w:r>
        <w:rPr>
          <w:color w:val="168749"/>
          <w:spacing w:val="-2"/>
        </w:rPr>
        <w:t>list.</w:t>
      </w:r>
    </w:p>
    <w:p>
      <w:pPr>
        <w:pStyle w:val="Heading3"/>
        <w:spacing w:line="302" w:lineRule="auto" w:before="157"/>
      </w:pPr>
      <w:r>
        <w:rPr>
          <w:color w:val="151F34"/>
        </w:rPr>
        <w:t>This page follows the natural disclosure structure for Malaysia.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902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74"/>
              <w:jc w:val="both"/>
              <w:rPr>
                <w:sz w:val="17"/>
              </w:rPr>
            </w:pPr>
            <w:r>
              <w:rPr>
                <w:color w:val="151F34"/>
                <w:sz w:val="17"/>
              </w:rPr>
              <w:t>Bursa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Malaysia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Sustainability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Reporting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Guide, NSRF / ISSB IFRS S1-S2 readiness and GHG </w:t>
            </w:r>
            <w:r>
              <w:rPr>
                <w:color w:val="151F34"/>
                <w:spacing w:val="-2"/>
                <w:sz w:val="17"/>
              </w:rPr>
              <w:t>Protocol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3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</w:t>
            </w:r>
            <w:r>
              <w:rPr>
                <w:color w:val="151F34"/>
                <w:spacing w:val="-2"/>
                <w:sz w:val="17"/>
              </w:rPr>
              <w:t>Appendix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sectPr>
      <w:pgSz w:w="11910" w:h="16840"/>
      <w:pgMar w:header="0" w:footer="512" w:top="1020" w:bottom="7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635299</wp:posOffset>
              </wp:positionH>
              <wp:positionV relativeFrom="page">
                <wp:posOffset>10221576</wp:posOffset>
              </wp:positionV>
              <wp:extent cx="3284220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84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97285"/>
                            </w:rPr>
                            <w:t>Strictly Confidential. Powered by CarbonSynq Earth AI Data </w:t>
                          </w:r>
                          <w:r>
                            <w:rPr>
                              <w:color w:val="697285"/>
                              <w:spacing w:val="-2"/>
                            </w:rPr>
                            <w:t>Engine.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4.848511pt;width:258.6pt;height:11.5pt;mso-position-horizontal-relative:page;mso-position-vertical-relative:page;z-index:-1639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97285"/>
                      </w:rPr>
                      <w:t>Strictly Confidential. Powered by CarbonSynq Earth AI Data </w:t>
                    </w:r>
                    <w:r>
                      <w:rPr>
                        <w:color w:val="697285"/>
                        <w:spacing w:val="-2"/>
                      </w:rPr>
                      <w:t>Engine.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466153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661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Bursa Malaysia Sustainability Reporting Guide, NSRF / ISSB IFRS S1-S2 readiness and GHG </w:t>
                          </w:r>
                          <w:r>
                            <w:rPr>
                              <w:color w:val="697285"/>
                              <w:spacing w:val="-2"/>
                              <w:sz w:val="16"/>
                            </w:rPr>
                            <w:t>Protocol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301147pt;width:367.05pt;height:10.95pt;mso-position-horizontal-relative:page;mso-position-vertical-relative:page;z-index:-1639577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Bursa Malaysia Sustainability Reporting Guide, NSRF / ISSB IFRS S1-S2 readiness and GHG </w:t>
                    </w:r>
                    <w:r>
                      <w:rPr>
                        <w:color w:val="697285"/>
                        <w:spacing w:val="-2"/>
                        <w:sz w:val="16"/>
                      </w:rPr>
                      <w:t>Protocol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216">
              <wp:simplePos x="0" y="0"/>
              <wp:positionH relativeFrom="page">
                <wp:posOffset>6520840</wp:posOffset>
              </wp:positionH>
              <wp:positionV relativeFrom="page">
                <wp:posOffset>10227324</wp:posOffset>
              </wp:positionV>
              <wp:extent cx="44259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452026pt;margin-top:805.301147pt;width:34.85pt;height:10.95pt;mso-position-horizontal-relative:page;mso-position-vertical-relative:page;z-index:-1639526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Page 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4833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560309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4833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647999"/>
                            </a:lnTo>
                            <a:lnTo>
                              <a:pt x="7560000" y="647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687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51pt;width:595.275600pt;height:51.02362pt;mso-position-horizontal-relative:page;mso-position-vertical-relative:page;z-index:-16397312" id="docshape6" filled="true" fillcolor="#16874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635299</wp:posOffset>
              </wp:positionH>
              <wp:positionV relativeFrom="page">
                <wp:posOffset>261827</wp:posOffset>
              </wp:positionV>
              <wp:extent cx="2299970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2999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CarbonSynq Earth | Malaysia Demo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8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20.616310pt;width:181.1pt;height:12.1pt;mso-position-horizontal-relative:page;mso-position-vertical-relative:page;z-index:-1639680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8"/>
                      </w:rPr>
                      <w:t>CarbonSynq Earth | Malaysia Demo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8"/>
                      </w:rPr>
                      <w:t>Client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4847602</wp:posOffset>
              </wp:positionH>
              <wp:positionV relativeFrom="page">
                <wp:posOffset>267575</wp:posOffset>
              </wp:positionV>
              <wp:extent cx="2077720" cy="1460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0777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Malaysia Sustainability and Climate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700989pt;margin-top:21.068947pt;width:163.6pt;height:11.5pt;mso-position-horizontal-relative:page;mso-position-vertical-relative:page;z-index:-1639628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>Malaysia Sustainability and Climate </w:t>
                    </w:r>
                    <w:r>
                      <w:rPr>
                        <w:color w:val="FFFFFF"/>
                        <w:spacing w:val="-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8"/>
      <w:ind w:left="1140" w:right="1194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0" w:right="1194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8" w:hanging="1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2026-07-10T13:07:14Z</dcterms:created>
  <dcterms:modified xsi:type="dcterms:W3CDTF">2026-07-10T13:07:14Z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2026-07-10T00:00:00Z</vt:filetime>
  </property>
  <property fmtid="{D5CDD505-2E9C-101B-9397-08002B2CF9AE}" pid="6" name="Producer">
    <vt:lpwstr>ReportLab PDF Library - (opensource)</vt:lpwstr>
  </property>
</Properties>
</file>