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  <w:sz w:val="62"/>
        </w:rPr>
      </w:pPr>
      <w:r>
        <w:rPr>
          <w:rFonts w:ascii="Times New Roman"/>
          <w:sz w:val="6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980564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60309" cy="1980564"/>
                          <a:chExt cx="7560309" cy="198056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1980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980564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9999"/>
                                </a:lnTo>
                                <a:lnTo>
                                  <a:pt x="7560000" y="1979999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7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60309" cy="19805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76"/>
                                <w:rPr>
                                  <w:sz w:val="6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20" w:right="0" w:firstLine="0"/>
                                <w:jc w:val="left"/>
                                <w:rPr>
                                  <w:rFonts w:ascii="Arial"/>
                                  <w:b/>
                                  <w:sz w:val="6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62"/>
                                </w:rPr>
                                <w:t>CarbonSynq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62"/>
                                </w:rPr>
                                <w:t>Earth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29pt;width:595.3pt;height:155.950pt;mso-position-horizontal-relative:page;mso-position-vertical-relative:page;z-index:15729152" id="docshapegroup2" coordorigin="0,0" coordsize="11906,3119">
                <v:rect style="position:absolute;left:0;top:0;width:11906;height:3119" id="docshape3" filled="true" fillcolor="#168749" stroked="false">
                  <v:fill type="solid"/>
                </v:rect>
                <v:shape style="position:absolute;left:0;top:0;width:11906;height:3119" type="#_x0000_t202" id="docshape4" filled="false" stroked="false">
                  <v:textbox inset="0,0,0,0">
                    <w:txbxContent>
                      <w:p>
                        <w:pPr>
                          <w:spacing w:line="240" w:lineRule="auto" w:before="576"/>
                          <w:rPr>
                            <w:sz w:val="62"/>
                          </w:rPr>
                        </w:pPr>
                      </w:p>
                      <w:p>
                        <w:pPr>
                          <w:spacing w:before="0"/>
                          <w:ind w:left="1020" w:right="0" w:firstLine="0"/>
                          <w:jc w:val="left"/>
                          <w:rPr>
                            <w:rFonts w:ascii="Arial"/>
                            <w:b/>
                            <w:sz w:val="6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62"/>
                          </w:rPr>
                          <w:t>CarbonSynq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62"/>
                          </w:rPr>
                          <w:t>Earth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0"/>
        <w:rPr>
          <w:rFonts w:ascii="Times New Roman"/>
          <w:sz w:val="62"/>
        </w:rPr>
      </w:pPr>
    </w:p>
    <w:p>
      <w:pPr>
        <w:pStyle w:val="BodyText"/>
        <w:spacing w:before="0"/>
        <w:rPr>
          <w:rFonts w:ascii="Times New Roman"/>
          <w:sz w:val="62"/>
        </w:rPr>
      </w:pPr>
    </w:p>
    <w:p>
      <w:pPr>
        <w:pStyle w:val="BodyText"/>
        <w:spacing w:before="0"/>
        <w:rPr>
          <w:rFonts w:ascii="Times New Roman"/>
          <w:sz w:val="62"/>
        </w:rPr>
      </w:pPr>
    </w:p>
    <w:p>
      <w:pPr>
        <w:pStyle w:val="BodyText"/>
        <w:spacing w:before="0"/>
        <w:rPr>
          <w:rFonts w:ascii="Times New Roman"/>
          <w:sz w:val="62"/>
        </w:rPr>
      </w:pPr>
    </w:p>
    <w:p>
      <w:pPr>
        <w:pStyle w:val="BodyText"/>
        <w:spacing w:before="0"/>
        <w:rPr>
          <w:rFonts w:ascii="Times New Roman"/>
          <w:sz w:val="62"/>
        </w:rPr>
      </w:pPr>
    </w:p>
    <w:p>
      <w:pPr>
        <w:pStyle w:val="BodyText"/>
        <w:spacing w:before="0"/>
        <w:rPr>
          <w:rFonts w:ascii="Times New Roman"/>
          <w:sz w:val="62"/>
        </w:rPr>
      </w:pPr>
    </w:p>
    <w:p>
      <w:pPr>
        <w:pStyle w:val="BodyText"/>
        <w:spacing w:before="0"/>
        <w:rPr>
          <w:rFonts w:ascii="Times New Roman"/>
          <w:sz w:val="62"/>
        </w:rPr>
      </w:pPr>
    </w:p>
    <w:p>
      <w:pPr>
        <w:pStyle w:val="BodyText"/>
        <w:spacing w:before="187"/>
        <w:rPr>
          <w:rFonts w:ascii="Times New Roman"/>
          <w:sz w:val="62"/>
        </w:rPr>
      </w:pPr>
    </w:p>
    <w:p>
      <w:pPr>
        <w:pStyle w:val="Title"/>
        <w:spacing w:line="242" w:lineRule="auto"/>
      </w:pPr>
      <w:r>
        <w:rPr>
          <w:color w:val="151F34"/>
        </w:rPr>
        <w:t>UK</w:t>
      </w:r>
      <w:r>
        <w:rPr>
          <w:color w:val="151F34"/>
          <w:spacing w:val="-11"/>
        </w:rPr>
        <w:t> </w:t>
      </w:r>
      <w:r>
        <w:rPr>
          <w:color w:val="151F34"/>
        </w:rPr>
        <w:t>Energy</w:t>
      </w:r>
      <w:r>
        <w:rPr>
          <w:color w:val="151F34"/>
          <w:spacing w:val="-11"/>
        </w:rPr>
        <w:t> </w:t>
      </w:r>
      <w:r>
        <w:rPr>
          <w:color w:val="151F34"/>
        </w:rPr>
        <w:t>and</w:t>
      </w:r>
      <w:r>
        <w:rPr>
          <w:color w:val="151F34"/>
          <w:spacing w:val="-11"/>
        </w:rPr>
        <w:t> </w:t>
      </w:r>
      <w:r>
        <w:rPr>
          <w:color w:val="151F34"/>
        </w:rPr>
        <w:t>Carbon Compliance Report</w:t>
      </w: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4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2520000</wp:posOffset>
                </wp:positionH>
                <wp:positionV relativeFrom="paragraph">
                  <wp:posOffset>189580</wp:posOffset>
                </wp:positionV>
                <wp:extent cx="2520315" cy="793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520315" cy="7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315" h="79375">
                              <a:moveTo>
                                <a:pt x="2520000" y="0"/>
                              </a:moveTo>
                              <a:lnTo>
                                <a:pt x="0" y="0"/>
                              </a:lnTo>
                              <a:lnTo>
                                <a:pt x="0" y="79199"/>
                              </a:lnTo>
                              <a:lnTo>
                                <a:pt x="2520000" y="79199"/>
                              </a:lnTo>
                              <a:lnTo>
                                <a:pt x="252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87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8.425201pt;margin-top:14.927618pt;width:198.4252pt;height:6.23622pt;mso-position-horizontal-relative:page;mso-position-vertical-relative:paragraph;z-index:-15728640;mso-wrap-distance-left:0;mso-wrap-distance-right:0" id="docshape5" filled="true" fillcolor="#16874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rPr>
          <w:rFonts w:ascii="Arial"/>
          <w:b/>
          <w:sz w:val="21"/>
        </w:rPr>
      </w:pPr>
    </w:p>
    <w:p>
      <w:pPr>
        <w:pStyle w:val="BodyText"/>
        <w:spacing w:before="0"/>
        <w:rPr>
          <w:rFonts w:ascii="Arial"/>
          <w:b/>
          <w:sz w:val="21"/>
        </w:rPr>
      </w:pPr>
    </w:p>
    <w:p>
      <w:pPr>
        <w:pStyle w:val="BodyText"/>
        <w:spacing w:before="82"/>
        <w:rPr>
          <w:rFonts w:ascii="Arial"/>
          <w:b/>
          <w:sz w:val="21"/>
        </w:rPr>
      </w:pPr>
    </w:p>
    <w:p>
      <w:pPr>
        <w:spacing w:before="0"/>
        <w:ind w:left="1140" w:right="0" w:firstLine="0"/>
        <w:jc w:val="left"/>
        <w:rPr>
          <w:sz w:val="21"/>
        </w:rPr>
      </w:pPr>
      <w:r>
        <w:rPr>
          <w:color w:val="697285"/>
          <w:sz w:val="21"/>
        </w:rPr>
        <w:t>Prepared </w:t>
      </w:r>
      <w:r>
        <w:rPr>
          <w:color w:val="697285"/>
          <w:spacing w:val="-4"/>
          <w:sz w:val="21"/>
        </w:rPr>
        <w:t>for:</w:t>
      </w:r>
    </w:p>
    <w:p>
      <w:pPr>
        <w:spacing w:before="41"/>
        <w:ind w:left="1140" w:right="0" w:firstLine="0"/>
        <w:jc w:val="left"/>
        <w:rPr>
          <w:rFonts w:ascii="Arial"/>
          <w:b/>
          <w:sz w:val="25"/>
        </w:rPr>
      </w:pPr>
      <w:r>
        <w:rPr>
          <w:rFonts w:ascii="Arial"/>
          <w:b/>
          <w:color w:val="151F34"/>
          <w:sz w:val="25"/>
        </w:rPr>
        <w:t>CarbonSynq Earth Demo </w:t>
      </w:r>
      <w:r>
        <w:rPr>
          <w:rFonts w:ascii="Arial"/>
          <w:b/>
          <w:color w:val="151F34"/>
          <w:spacing w:val="-2"/>
          <w:sz w:val="25"/>
        </w:rPr>
        <w:t>Client</w:t>
      </w:r>
    </w:p>
    <w:p>
      <w:pPr>
        <w:pStyle w:val="BodyText"/>
        <w:spacing w:before="26"/>
        <w:rPr>
          <w:rFonts w:ascii="Arial"/>
          <w:b/>
          <w:sz w:val="25"/>
        </w:rPr>
      </w:pPr>
    </w:p>
    <w:p>
      <w:pPr>
        <w:spacing w:before="0"/>
        <w:ind w:left="1140" w:right="0" w:firstLine="0"/>
        <w:jc w:val="left"/>
        <w:rPr>
          <w:sz w:val="21"/>
        </w:rPr>
      </w:pPr>
      <w:r>
        <w:rPr>
          <w:color w:val="697285"/>
          <w:sz w:val="21"/>
        </w:rPr>
        <w:t>Reporting </w:t>
      </w:r>
      <w:r>
        <w:rPr>
          <w:color w:val="697285"/>
          <w:spacing w:val="-2"/>
          <w:sz w:val="21"/>
        </w:rPr>
        <w:t>Period:</w:t>
      </w:r>
    </w:p>
    <w:p>
      <w:pPr>
        <w:spacing w:before="41"/>
        <w:ind w:left="1140" w:right="0" w:firstLine="0"/>
        <w:jc w:val="left"/>
        <w:rPr>
          <w:rFonts w:ascii="Arial"/>
          <w:b/>
          <w:sz w:val="25"/>
        </w:rPr>
      </w:pPr>
      <w:r>
        <w:rPr>
          <w:rFonts w:ascii="Arial"/>
          <w:b/>
          <w:color w:val="151F34"/>
          <w:sz w:val="25"/>
        </w:rPr>
        <w:t>Invoice Upload Based </w:t>
      </w:r>
      <w:r>
        <w:rPr>
          <w:rFonts w:ascii="Arial"/>
          <w:b/>
          <w:color w:val="151F34"/>
          <w:spacing w:val="-2"/>
          <w:sz w:val="25"/>
        </w:rPr>
        <w:t>Report</w:t>
      </w:r>
    </w:p>
    <w:p>
      <w:pPr>
        <w:pStyle w:val="BodyText"/>
        <w:spacing w:before="26"/>
        <w:rPr>
          <w:rFonts w:ascii="Arial"/>
          <w:b/>
          <w:sz w:val="25"/>
        </w:rPr>
      </w:pPr>
    </w:p>
    <w:p>
      <w:pPr>
        <w:spacing w:before="0"/>
        <w:ind w:left="1140" w:right="0" w:firstLine="0"/>
        <w:jc w:val="left"/>
        <w:rPr>
          <w:sz w:val="21"/>
        </w:rPr>
      </w:pPr>
      <w:r>
        <w:rPr>
          <w:color w:val="697285"/>
          <w:sz w:val="21"/>
        </w:rPr>
        <w:t>Generated </w:t>
      </w:r>
      <w:r>
        <w:rPr>
          <w:color w:val="697285"/>
          <w:spacing w:val="-5"/>
          <w:sz w:val="21"/>
        </w:rPr>
        <w:t>on:</w:t>
      </w:r>
    </w:p>
    <w:p>
      <w:pPr>
        <w:spacing w:before="41"/>
        <w:ind w:left="1140" w:right="0" w:firstLine="0"/>
        <w:jc w:val="left"/>
        <w:rPr>
          <w:rFonts w:ascii="Arial"/>
          <w:b/>
          <w:sz w:val="25"/>
        </w:rPr>
      </w:pPr>
      <w:r>
        <w:rPr>
          <w:rFonts w:ascii="Arial"/>
          <w:b/>
          <w:color w:val="151F34"/>
          <w:sz w:val="25"/>
        </w:rPr>
        <w:t>10 July </w:t>
      </w:r>
      <w:r>
        <w:rPr>
          <w:rFonts w:ascii="Arial"/>
          <w:b/>
          <w:color w:val="151F34"/>
          <w:spacing w:val="-4"/>
          <w:sz w:val="25"/>
        </w:rPr>
        <w:t>2026</w:t>
      </w:r>
    </w:p>
    <w:p>
      <w:pPr>
        <w:pStyle w:val="BodyText"/>
        <w:spacing w:before="0"/>
        <w:rPr>
          <w:rFonts w:ascii="Arial"/>
          <w:b/>
          <w:sz w:val="25"/>
        </w:rPr>
      </w:pPr>
    </w:p>
    <w:p>
      <w:pPr>
        <w:pStyle w:val="BodyText"/>
        <w:spacing w:before="110"/>
        <w:rPr>
          <w:rFonts w:ascii="Arial"/>
          <w:b/>
          <w:sz w:val="25"/>
        </w:rPr>
      </w:pPr>
    </w:p>
    <w:p>
      <w:pPr>
        <w:pStyle w:val="Heading2"/>
        <w:spacing w:before="0"/>
      </w:pPr>
      <w:r>
        <w:rPr>
          <w:color w:val="168749"/>
        </w:rPr>
        <w:t>Table of </w:t>
      </w:r>
      <w:r>
        <w:rPr>
          <w:color w:val="168749"/>
          <w:spacing w:val="-2"/>
        </w:rPr>
        <w:t>Contents</w:t>
      </w:r>
    </w:p>
    <w:p>
      <w:pPr>
        <w:pStyle w:val="ListParagraph"/>
        <w:numPr>
          <w:ilvl w:val="0"/>
          <w:numId w:val="1"/>
        </w:numPr>
        <w:tabs>
          <w:tab w:pos="1868" w:val="left" w:leader="none"/>
          <w:tab w:pos="9049" w:val="left" w:leader="none"/>
        </w:tabs>
        <w:spacing w:line="240" w:lineRule="auto" w:before="211" w:after="0"/>
        <w:ind w:left="1868" w:right="0" w:hanging="189"/>
        <w:jc w:val="left"/>
        <w:rPr>
          <w:sz w:val="17"/>
        </w:rPr>
      </w:pPr>
      <w:r>
        <w:rPr>
          <w:color w:val="151F34"/>
          <w:sz w:val="17"/>
        </w:rPr>
        <w:t>Executive Summary and </w:t>
      </w:r>
      <w:r>
        <w:rPr>
          <w:color w:val="151F34"/>
          <w:spacing w:val="-2"/>
          <w:sz w:val="17"/>
        </w:rPr>
        <w:t>Emissions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2</w:t>
      </w:r>
    </w:p>
    <w:p>
      <w:pPr>
        <w:pStyle w:val="ListParagraph"/>
        <w:numPr>
          <w:ilvl w:val="0"/>
          <w:numId w:val="1"/>
        </w:numPr>
        <w:tabs>
          <w:tab w:pos="1868" w:val="left" w:leader="none"/>
          <w:tab w:pos="9049" w:val="left" w:leader="none"/>
        </w:tabs>
        <w:spacing w:line="240" w:lineRule="auto" w:before="168" w:after="0"/>
        <w:ind w:left="1868" w:right="0" w:hanging="189"/>
        <w:jc w:val="left"/>
        <w:rPr>
          <w:sz w:val="17"/>
        </w:rPr>
      </w:pPr>
      <w:r>
        <w:rPr>
          <w:color w:val="151F34"/>
          <w:sz w:val="17"/>
        </w:rPr>
        <w:t>UK SECR Disclosure </w:t>
      </w:r>
      <w:r>
        <w:rPr>
          <w:color w:val="151F34"/>
          <w:spacing w:val="-4"/>
          <w:sz w:val="17"/>
        </w:rPr>
        <w:t>Pack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7</w:t>
      </w:r>
    </w:p>
    <w:p>
      <w:pPr>
        <w:pStyle w:val="ListParagraph"/>
        <w:numPr>
          <w:ilvl w:val="0"/>
          <w:numId w:val="1"/>
        </w:numPr>
        <w:tabs>
          <w:tab w:pos="1868" w:val="left" w:leader="none"/>
          <w:tab w:pos="9049" w:val="left" w:leader="none"/>
        </w:tabs>
        <w:spacing w:line="240" w:lineRule="auto" w:before="169" w:after="0"/>
        <w:ind w:left="1868" w:right="0" w:hanging="189"/>
        <w:jc w:val="left"/>
        <w:rPr>
          <w:sz w:val="17"/>
        </w:rPr>
      </w:pPr>
      <w:r>
        <w:rPr>
          <w:color w:val="151F34"/>
          <w:sz w:val="17"/>
        </w:rPr>
        <w:t>Inventory Boundary and </w:t>
      </w:r>
      <w:r>
        <w:rPr>
          <w:color w:val="151F34"/>
          <w:spacing w:val="-2"/>
          <w:sz w:val="17"/>
        </w:rPr>
        <w:t>Methodology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13</w:t>
      </w:r>
    </w:p>
    <w:p>
      <w:pPr>
        <w:pStyle w:val="ListParagraph"/>
        <w:numPr>
          <w:ilvl w:val="0"/>
          <w:numId w:val="1"/>
        </w:numPr>
        <w:tabs>
          <w:tab w:pos="1868" w:val="left" w:leader="none"/>
          <w:tab w:pos="9049" w:val="left" w:leader="none"/>
        </w:tabs>
        <w:spacing w:line="240" w:lineRule="auto" w:before="168" w:after="0"/>
        <w:ind w:left="1868" w:right="0" w:hanging="189"/>
        <w:jc w:val="left"/>
        <w:rPr>
          <w:sz w:val="17"/>
        </w:rPr>
      </w:pPr>
      <w:r>
        <w:rPr>
          <w:color w:val="151F34"/>
          <w:sz w:val="17"/>
        </w:rPr>
        <w:t>Invoice and Item-level </w:t>
      </w:r>
      <w:r>
        <w:rPr>
          <w:color w:val="151F34"/>
          <w:spacing w:val="-2"/>
          <w:sz w:val="17"/>
        </w:rPr>
        <w:t>Calculations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20</w:t>
      </w:r>
    </w:p>
    <w:p>
      <w:pPr>
        <w:pStyle w:val="ListParagraph"/>
        <w:numPr>
          <w:ilvl w:val="0"/>
          <w:numId w:val="1"/>
        </w:numPr>
        <w:tabs>
          <w:tab w:pos="1868" w:val="left" w:leader="none"/>
          <w:tab w:pos="9049" w:val="left" w:leader="none"/>
        </w:tabs>
        <w:spacing w:line="240" w:lineRule="auto" w:before="169" w:after="0"/>
        <w:ind w:left="1868" w:right="0" w:hanging="189"/>
        <w:jc w:val="left"/>
        <w:rPr>
          <w:sz w:val="17"/>
        </w:rPr>
      </w:pPr>
      <w:r>
        <w:rPr>
          <w:color w:val="151F34"/>
          <w:sz w:val="17"/>
        </w:rPr>
        <w:t>Energy Performance and </w:t>
      </w:r>
      <w:r>
        <w:rPr>
          <w:color w:val="151F34"/>
          <w:spacing w:val="-4"/>
          <w:sz w:val="17"/>
        </w:rPr>
        <w:t>KPIs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27</w:t>
      </w:r>
    </w:p>
    <w:p>
      <w:pPr>
        <w:pStyle w:val="ListParagraph"/>
        <w:numPr>
          <w:ilvl w:val="0"/>
          <w:numId w:val="1"/>
        </w:numPr>
        <w:tabs>
          <w:tab w:pos="1868" w:val="left" w:leader="none"/>
          <w:tab w:pos="9049" w:val="left" w:leader="none"/>
        </w:tabs>
        <w:spacing w:line="240" w:lineRule="auto" w:before="169" w:after="0"/>
        <w:ind w:left="1868" w:right="0" w:hanging="189"/>
        <w:jc w:val="left"/>
        <w:rPr>
          <w:sz w:val="17"/>
        </w:rPr>
      </w:pPr>
      <w:r>
        <w:rPr>
          <w:color w:val="151F34"/>
          <w:sz w:val="17"/>
        </w:rPr>
        <w:t>Governance and Climate </w:t>
      </w:r>
      <w:r>
        <w:rPr>
          <w:color w:val="151F34"/>
          <w:spacing w:val="-2"/>
          <w:sz w:val="17"/>
        </w:rPr>
        <w:t>Readiness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34</w:t>
      </w:r>
    </w:p>
    <w:p>
      <w:pPr>
        <w:pStyle w:val="ListParagraph"/>
        <w:numPr>
          <w:ilvl w:val="0"/>
          <w:numId w:val="1"/>
        </w:numPr>
        <w:tabs>
          <w:tab w:pos="1868" w:val="left" w:leader="none"/>
          <w:tab w:pos="9049" w:val="left" w:leader="none"/>
        </w:tabs>
        <w:spacing w:line="240" w:lineRule="auto" w:before="168" w:after="0"/>
        <w:ind w:left="1868" w:right="0" w:hanging="189"/>
        <w:jc w:val="left"/>
        <w:rPr>
          <w:sz w:val="17"/>
        </w:rPr>
      </w:pPr>
      <w:r>
        <w:rPr>
          <w:color w:val="151F34"/>
          <w:sz w:val="17"/>
        </w:rPr>
        <w:t>Decarbonisation </w:t>
      </w:r>
      <w:r>
        <w:rPr>
          <w:color w:val="151F34"/>
          <w:spacing w:val="-2"/>
          <w:sz w:val="17"/>
        </w:rPr>
        <w:t>Roadmap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41</w:t>
      </w:r>
    </w:p>
    <w:p>
      <w:pPr>
        <w:pStyle w:val="ListParagraph"/>
        <w:spacing w:after="0" w:line="240" w:lineRule="auto"/>
        <w:jc w:val="left"/>
        <w:rPr>
          <w:sz w:val="17"/>
        </w:rPr>
        <w:sectPr>
          <w:footerReference w:type="default" r:id="rId5"/>
          <w:type w:val="continuous"/>
          <w:pgSz w:w="11910" w:h="16840"/>
          <w:pgMar w:header="0" w:footer="521" w:top="0" w:bottom="720" w:left="0" w:right="0"/>
          <w:pgNumType w:start="1"/>
        </w:sectPr>
      </w:pPr>
    </w:p>
    <w:p>
      <w:pPr>
        <w:pStyle w:val="BodyText"/>
        <w:spacing w:before="0"/>
        <w:rPr>
          <w:sz w:val="17"/>
        </w:rPr>
      </w:pPr>
    </w:p>
    <w:p>
      <w:pPr>
        <w:pStyle w:val="BodyText"/>
        <w:spacing w:before="0"/>
        <w:rPr>
          <w:sz w:val="17"/>
        </w:rPr>
      </w:pPr>
    </w:p>
    <w:p>
      <w:pPr>
        <w:pStyle w:val="BodyText"/>
        <w:spacing w:before="171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1868" w:val="left" w:leader="none"/>
          <w:tab w:pos="9049" w:val="left" w:leader="none"/>
        </w:tabs>
        <w:spacing w:line="240" w:lineRule="auto" w:before="0" w:after="0"/>
        <w:ind w:left="1868" w:right="0" w:hanging="189"/>
        <w:jc w:val="left"/>
        <w:rPr>
          <w:sz w:val="17"/>
        </w:rPr>
      </w:pPr>
      <w:r>
        <w:rPr>
          <w:color w:val="151F34"/>
          <w:sz w:val="17"/>
        </w:rPr>
        <w:t>Appendix and Evidence </w:t>
      </w:r>
      <w:r>
        <w:rPr>
          <w:color w:val="151F34"/>
          <w:spacing w:val="-2"/>
          <w:sz w:val="17"/>
        </w:rPr>
        <w:t>Register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48</w:t>
      </w:r>
    </w:p>
    <w:p>
      <w:pPr>
        <w:pStyle w:val="ListParagraph"/>
        <w:spacing w:after="0" w:line="240" w:lineRule="auto"/>
        <w:jc w:val="left"/>
        <w:rPr>
          <w:sz w:val="17"/>
        </w:rPr>
        <w:sectPr>
          <w:headerReference w:type="default" r:id="rId6"/>
          <w:footerReference w:type="default" r:id="rId7"/>
          <w:pgSz w:w="11910" w:h="16840"/>
          <w:pgMar w:header="0" w:footer="512" w:top="1020" w:bottom="700" w:left="0" w:right="0"/>
          <w:pgNumType w:start="2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Executive Summary and </w:t>
      </w:r>
      <w:r>
        <w:rPr>
          <w:color w:val="151F34"/>
          <w:spacing w:val="-2"/>
        </w:rPr>
        <w:t>Emissions</w:t>
      </w:r>
    </w:p>
    <w:p>
      <w:pPr>
        <w:pStyle w:val="Heading2"/>
        <w:spacing w:before="213"/>
      </w:pPr>
      <w:r>
        <w:rPr>
          <w:color w:val="168749"/>
        </w:rPr>
        <w:t>Management overview of the UK energy and carbon </w:t>
      </w:r>
      <w:r>
        <w:rPr>
          <w:color w:val="168749"/>
          <w:spacing w:val="-2"/>
        </w:rPr>
        <w:t>position.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report converts uploaded invoice evidence into a UK-focused energy and carbon compliance pack. </w:t>
      </w:r>
      <w:r>
        <w:rPr>
          <w:color w:val="151F34"/>
        </w:rPr>
        <w:t>It</w:t>
      </w:r>
      <w:r>
        <w:rPr>
          <w:color w:val="151F34"/>
          <w:spacing w:val="40"/>
        </w:rPr>
        <w:t> </w:t>
      </w:r>
      <w:r>
        <w:rPr>
          <w:color w:val="151F34"/>
        </w:rPr>
        <w:t>is structured for management review, data validation and future statutory reporting readiness.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10"/>
                <w:sz w:val="17"/>
              </w:rPr>
              <w:t>2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Total Footprint </w:t>
      </w:r>
      <w:r>
        <w:rPr>
          <w:color w:val="151F34"/>
          <w:spacing w:val="-2"/>
        </w:rPr>
        <w:t>Snapshot</w:t>
      </w:r>
    </w:p>
    <w:p>
      <w:pPr>
        <w:pStyle w:val="Heading2"/>
        <w:spacing w:before="213"/>
      </w:pPr>
      <w:r>
        <w:rPr>
          <w:color w:val="168749"/>
        </w:rPr>
        <w:t>Calculated emissions from invoice-level electricity </w:t>
      </w:r>
      <w:r>
        <w:rPr>
          <w:color w:val="168749"/>
          <w:spacing w:val="-2"/>
        </w:rPr>
        <w:t>data.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The current calculated footprint is based on one electricity invoice. The values are suitable for draft </w:t>
      </w:r>
      <w:r>
        <w:rPr>
          <w:color w:val="151F34"/>
        </w:rPr>
        <w:t>review and should be reconciled against the final reporting boundary before external use.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Scope </w:t>
            </w:r>
            <w:r>
              <w:rPr>
                <w:color w:val="151F34"/>
                <w:spacing w:val="-10"/>
                <w:sz w:val="17"/>
              </w:rPr>
              <w:t>1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0.0000 </w:t>
            </w:r>
            <w:r>
              <w:rPr>
                <w:color w:val="151F34"/>
                <w:spacing w:val="-2"/>
                <w:sz w:val="17"/>
              </w:rPr>
              <w:t>tCO2e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No direct fuel evidence </w:t>
            </w:r>
            <w:r>
              <w:rPr>
                <w:color w:val="151F34"/>
                <w:spacing w:val="-2"/>
                <w:sz w:val="17"/>
              </w:rPr>
              <w:t>uploaded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Scope </w:t>
            </w:r>
            <w:r>
              <w:rPr>
                <w:color w:val="151F34"/>
                <w:spacing w:val="-10"/>
                <w:sz w:val="17"/>
              </w:rPr>
              <w:t>2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0.1999 </w:t>
            </w:r>
            <w:r>
              <w:rPr>
                <w:color w:val="151F34"/>
                <w:spacing w:val="-2"/>
                <w:sz w:val="17"/>
              </w:rPr>
              <w:t>tCO2e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Purchased electricity </w:t>
            </w:r>
            <w:r>
              <w:rPr>
                <w:color w:val="151F34"/>
                <w:spacing w:val="-2"/>
                <w:sz w:val="17"/>
              </w:rPr>
              <w:t>invoice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Scope </w:t>
            </w:r>
            <w:r>
              <w:rPr>
                <w:color w:val="151F34"/>
                <w:spacing w:val="-10"/>
                <w:sz w:val="17"/>
              </w:rPr>
              <w:t>3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0.0000 </w:t>
            </w:r>
            <w:r>
              <w:rPr>
                <w:color w:val="151F34"/>
                <w:spacing w:val="-2"/>
                <w:sz w:val="17"/>
              </w:rPr>
              <w:t>tCO2e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Not yet </w:t>
            </w:r>
            <w:r>
              <w:rPr>
                <w:color w:val="151F34"/>
                <w:spacing w:val="-2"/>
                <w:sz w:val="17"/>
              </w:rPr>
              <w:t>evidenced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Total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0.1999 </w:t>
            </w:r>
            <w:r>
              <w:rPr>
                <w:color w:val="151F34"/>
                <w:spacing w:val="-2"/>
                <w:sz w:val="17"/>
              </w:rPr>
              <w:t>tCO2e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Invoice-based </w:t>
            </w:r>
            <w:r>
              <w:rPr>
                <w:color w:val="151F34"/>
                <w:spacing w:val="-2"/>
                <w:sz w:val="17"/>
              </w:rPr>
              <w:t>calculation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Scope </w:t>
      </w:r>
      <w:r>
        <w:rPr>
          <w:color w:val="151F34"/>
          <w:spacing w:val="-2"/>
        </w:rPr>
        <w:t>Profile</w:t>
      </w:r>
    </w:p>
    <w:p>
      <w:pPr>
        <w:pStyle w:val="Heading2"/>
        <w:spacing w:before="213"/>
      </w:pPr>
      <w:r>
        <w:rPr>
          <w:color w:val="168749"/>
        </w:rPr>
        <w:t>Direct, purchased energy and value-chain emissions </w:t>
      </w:r>
      <w:r>
        <w:rPr>
          <w:color w:val="168749"/>
          <w:spacing w:val="-2"/>
        </w:rPr>
        <w:t>view.</w:t>
      </w:r>
    </w:p>
    <w:p>
      <w:pPr>
        <w:pStyle w:val="BodyText"/>
        <w:spacing w:line="302" w:lineRule="auto"/>
        <w:ind w:left="1140" w:right="1861"/>
      </w:pPr>
      <w:r>
        <w:rPr>
          <w:color w:val="151F34"/>
        </w:rPr>
        <w:t>Scope 1 covers direct emissions, Scope 2 covers purchased energy and Scope 3 covers relevant value-chain categories. Current uploaded evidence primarily supports Scope 2 electricity </w:t>
      </w:r>
      <w:r>
        <w:rPr>
          <w:color w:val="151F34"/>
        </w:rPr>
        <w:t>reporting.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10"/>
                <w:sz w:val="17"/>
              </w:rPr>
              <w:t>4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Reporting </w:t>
      </w:r>
      <w:r>
        <w:rPr>
          <w:color w:val="151F34"/>
          <w:spacing w:val="-2"/>
        </w:rPr>
        <w:t>Context</w:t>
      </w:r>
    </w:p>
    <w:p>
      <w:pPr>
        <w:pStyle w:val="Heading2"/>
        <w:spacing w:line="268" w:lineRule="auto" w:before="213"/>
        <w:ind w:right="1309"/>
      </w:pPr>
      <w:r>
        <w:rPr>
          <w:color w:val="168749"/>
        </w:rPr>
        <w:t>UK-focused</w:t>
      </w:r>
      <w:r>
        <w:rPr>
          <w:color w:val="168749"/>
          <w:spacing w:val="-5"/>
        </w:rPr>
        <w:t> </w:t>
      </w:r>
      <w:r>
        <w:rPr>
          <w:color w:val="168749"/>
        </w:rPr>
        <w:t>compliance</w:t>
      </w:r>
      <w:r>
        <w:rPr>
          <w:color w:val="168749"/>
          <w:spacing w:val="-5"/>
        </w:rPr>
        <w:t> </w:t>
      </w:r>
      <w:r>
        <w:rPr>
          <w:color w:val="168749"/>
        </w:rPr>
        <w:t>context</w:t>
      </w:r>
      <w:r>
        <w:rPr>
          <w:color w:val="168749"/>
          <w:spacing w:val="-5"/>
        </w:rPr>
        <w:t> </w:t>
      </w:r>
      <w:r>
        <w:rPr>
          <w:color w:val="168749"/>
        </w:rPr>
        <w:t>for</w:t>
      </w:r>
      <w:r>
        <w:rPr>
          <w:color w:val="168749"/>
          <w:spacing w:val="-5"/>
        </w:rPr>
        <w:t> </w:t>
      </w:r>
      <w:r>
        <w:rPr>
          <w:color w:val="168749"/>
        </w:rPr>
        <w:t>energy</w:t>
      </w:r>
      <w:r>
        <w:rPr>
          <w:color w:val="168749"/>
          <w:spacing w:val="-5"/>
        </w:rPr>
        <w:t> </w:t>
      </w:r>
      <w:r>
        <w:rPr>
          <w:color w:val="168749"/>
        </w:rPr>
        <w:t>and</w:t>
      </w:r>
      <w:r>
        <w:rPr>
          <w:color w:val="168749"/>
          <w:spacing w:val="-5"/>
        </w:rPr>
        <w:t> </w:t>
      </w:r>
      <w:r>
        <w:rPr>
          <w:color w:val="168749"/>
        </w:rPr>
        <w:t>greenhouse</w:t>
      </w:r>
      <w:r>
        <w:rPr>
          <w:color w:val="168749"/>
          <w:spacing w:val="-5"/>
        </w:rPr>
        <w:t> </w:t>
      </w:r>
      <w:r>
        <w:rPr>
          <w:color w:val="168749"/>
        </w:rPr>
        <w:t>gas </w:t>
      </w:r>
      <w:r>
        <w:rPr>
          <w:color w:val="168749"/>
          <w:spacing w:val="-2"/>
        </w:rPr>
        <w:t>disclosure.</w:t>
      </w:r>
    </w:p>
    <w:p>
      <w:pPr>
        <w:pStyle w:val="BodyText"/>
        <w:spacing w:line="302" w:lineRule="auto" w:before="118"/>
        <w:ind w:left="1140" w:right="1309"/>
      </w:pPr>
      <w:r>
        <w:rPr>
          <w:color w:val="151F34"/>
        </w:rPr>
        <w:t>The report uses UK energy and greenhouse gas reporting language, with SECR-style tables and </w:t>
      </w:r>
      <w:r>
        <w:rPr>
          <w:color w:val="151F34"/>
        </w:rPr>
        <w:t>optional climate disclosure readiness. India-specific disclosure labels are deliberately excluded.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10"/>
                <w:sz w:val="17"/>
              </w:rPr>
              <w:t>5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Key </w:t>
      </w:r>
      <w:r>
        <w:rPr>
          <w:color w:val="151F34"/>
          <w:spacing w:val="-2"/>
        </w:rPr>
        <w:t>Findings</w:t>
      </w:r>
    </w:p>
    <w:p>
      <w:pPr>
        <w:pStyle w:val="Heading2"/>
        <w:spacing w:before="213"/>
      </w:pPr>
      <w:r>
        <w:rPr>
          <w:color w:val="168749"/>
        </w:rPr>
        <w:t>Interpretation of the uploaded invoice data and material </w:t>
      </w:r>
      <w:r>
        <w:rPr>
          <w:color w:val="168749"/>
          <w:spacing w:val="-2"/>
        </w:rPr>
        <w:t>impacts.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10"/>
                <w:sz w:val="17"/>
              </w:rPr>
              <w:t>6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Management </w:t>
      </w:r>
      <w:r>
        <w:rPr>
          <w:color w:val="151F34"/>
          <w:spacing w:val="-2"/>
        </w:rPr>
        <w:t>Actions</w:t>
      </w:r>
    </w:p>
    <w:p>
      <w:pPr>
        <w:pStyle w:val="Heading2"/>
        <w:spacing w:before="213"/>
      </w:pPr>
      <w:r>
        <w:rPr>
          <w:color w:val="168749"/>
        </w:rPr>
        <w:t>Immediate actions for data confidence and emissions </w:t>
      </w:r>
      <w:r>
        <w:rPr>
          <w:color w:val="168749"/>
          <w:spacing w:val="-2"/>
        </w:rPr>
        <w:t>reduction.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10"/>
                <w:sz w:val="17"/>
              </w:rPr>
              <w:t>7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UK SECR Disclosure </w:t>
      </w:r>
      <w:r>
        <w:rPr>
          <w:color w:val="151F34"/>
          <w:spacing w:val="-4"/>
        </w:rPr>
        <w:t>Pack</w:t>
      </w:r>
    </w:p>
    <w:p>
      <w:pPr>
        <w:pStyle w:val="Heading2"/>
        <w:spacing w:before="213"/>
      </w:pPr>
      <w:r>
        <w:rPr>
          <w:color w:val="168749"/>
        </w:rPr>
        <w:t>Streamlined Energy and Carbon Reporting style disclosure </w:t>
      </w:r>
      <w:r>
        <w:rPr>
          <w:color w:val="168749"/>
          <w:spacing w:val="-2"/>
        </w:rPr>
        <w:t>table.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Total UK </w:t>
            </w:r>
            <w:r>
              <w:rPr>
                <w:color w:val="151F34"/>
                <w:spacing w:val="-2"/>
                <w:sz w:val="17"/>
              </w:rPr>
              <w:t>electricity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281.56 </w:t>
            </w:r>
            <w:r>
              <w:rPr>
                <w:color w:val="151F34"/>
                <w:spacing w:val="-5"/>
                <w:sz w:val="17"/>
              </w:rPr>
              <w:t>kWh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Uploaded </w:t>
            </w:r>
            <w:r>
              <w:rPr>
                <w:color w:val="151F34"/>
                <w:spacing w:val="-2"/>
                <w:sz w:val="17"/>
              </w:rPr>
              <w:t>invoice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Scope 1 </w:t>
            </w:r>
            <w:r>
              <w:rPr>
                <w:color w:val="151F34"/>
                <w:spacing w:val="-2"/>
                <w:sz w:val="17"/>
              </w:rPr>
              <w:t>emissions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0.0000 </w:t>
            </w:r>
            <w:r>
              <w:rPr>
                <w:color w:val="151F34"/>
                <w:spacing w:val="-2"/>
                <w:sz w:val="17"/>
              </w:rPr>
              <w:t>tCO2e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Pending fuel </w:t>
            </w:r>
            <w:r>
              <w:rPr>
                <w:color w:val="151F34"/>
                <w:spacing w:val="-2"/>
                <w:sz w:val="17"/>
              </w:rPr>
              <w:t>records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Scope 2 </w:t>
            </w:r>
            <w:r>
              <w:rPr>
                <w:color w:val="151F34"/>
                <w:spacing w:val="-2"/>
                <w:sz w:val="17"/>
              </w:rPr>
              <w:t>emissions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0.1999 </w:t>
            </w:r>
            <w:r>
              <w:rPr>
                <w:color w:val="151F34"/>
                <w:spacing w:val="-2"/>
                <w:sz w:val="17"/>
              </w:rPr>
              <w:t>tCO2e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Electricity </w:t>
            </w:r>
            <w:r>
              <w:rPr>
                <w:color w:val="151F34"/>
                <w:spacing w:val="-2"/>
                <w:sz w:val="17"/>
              </w:rPr>
              <w:t>calculation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Intensity </w:t>
            </w:r>
            <w:r>
              <w:rPr>
                <w:color w:val="151F34"/>
                <w:spacing w:val="-2"/>
                <w:sz w:val="17"/>
              </w:rPr>
              <w:t>ratio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0.1999 tCO2e / </w:t>
            </w:r>
            <w:r>
              <w:rPr>
                <w:color w:val="151F34"/>
                <w:spacing w:val="-2"/>
                <w:sz w:val="17"/>
              </w:rPr>
              <w:t>invoice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Draft management </w:t>
            </w:r>
            <w:r>
              <w:rPr>
                <w:color w:val="151F34"/>
                <w:spacing w:val="-2"/>
                <w:sz w:val="17"/>
              </w:rPr>
              <w:t>ratio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SECR Applicability </w:t>
      </w:r>
      <w:r>
        <w:rPr>
          <w:color w:val="151F34"/>
          <w:spacing w:val="-2"/>
        </w:rPr>
        <w:t>Review</w:t>
      </w:r>
    </w:p>
    <w:p>
      <w:pPr>
        <w:pStyle w:val="Heading2"/>
        <w:spacing w:before="213"/>
      </w:pPr>
      <w:r>
        <w:rPr>
          <w:color w:val="168749"/>
        </w:rPr>
        <w:t>Entity-level review points for quoted and large UK </w:t>
      </w:r>
      <w:r>
        <w:rPr>
          <w:color w:val="168749"/>
          <w:spacing w:val="-2"/>
        </w:rPr>
        <w:t>companies.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10"/>
                <w:sz w:val="17"/>
              </w:rPr>
              <w:t>9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Annual Energy </w:t>
      </w:r>
      <w:r>
        <w:rPr>
          <w:color w:val="151F34"/>
          <w:spacing w:val="-5"/>
        </w:rPr>
        <w:t>Use</w:t>
      </w:r>
    </w:p>
    <w:p>
      <w:pPr>
        <w:pStyle w:val="Heading2"/>
        <w:spacing w:before="213"/>
      </w:pPr>
      <w:r>
        <w:rPr>
          <w:color w:val="168749"/>
        </w:rPr>
        <w:t>Electricity, fuel and transport energy disclosure </w:t>
      </w:r>
      <w:r>
        <w:rPr>
          <w:color w:val="168749"/>
          <w:spacing w:val="-2"/>
        </w:rPr>
        <w:t>structure.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10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Greenhouse Gas </w:t>
      </w:r>
      <w:r>
        <w:rPr>
          <w:color w:val="151F34"/>
          <w:spacing w:val="-2"/>
        </w:rPr>
        <w:t>Emissions</w:t>
      </w:r>
    </w:p>
    <w:p>
      <w:pPr>
        <w:pStyle w:val="Heading2"/>
        <w:spacing w:before="213"/>
      </w:pPr>
      <w:r>
        <w:rPr>
          <w:color w:val="168749"/>
        </w:rPr>
        <w:t>Gross emissions and intensity information for </w:t>
      </w:r>
      <w:r>
        <w:rPr>
          <w:color w:val="168749"/>
          <w:spacing w:val="-2"/>
        </w:rPr>
        <w:t>review.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11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Intensity Ratio </w:t>
      </w:r>
      <w:r>
        <w:rPr>
          <w:color w:val="151F34"/>
          <w:spacing w:val="-2"/>
        </w:rPr>
        <w:t>Selection</w:t>
      </w:r>
    </w:p>
    <w:p>
      <w:pPr>
        <w:pStyle w:val="Heading2"/>
        <w:spacing w:before="213"/>
      </w:pPr>
      <w:r>
        <w:rPr>
          <w:color w:val="168749"/>
        </w:rPr>
        <w:t>Recommended intensity ratios for UK management </w:t>
      </w:r>
      <w:r>
        <w:rPr>
          <w:color w:val="168749"/>
          <w:spacing w:val="-2"/>
        </w:rPr>
        <w:t>reporting.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12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Energy Efficiency </w:t>
      </w:r>
      <w:r>
        <w:rPr>
          <w:color w:val="151F34"/>
          <w:spacing w:val="-2"/>
        </w:rPr>
        <w:t>Narrative</w:t>
      </w:r>
    </w:p>
    <w:p>
      <w:pPr>
        <w:pStyle w:val="Heading2"/>
        <w:spacing w:before="213"/>
      </w:pPr>
      <w:r>
        <w:rPr>
          <w:color w:val="168749"/>
        </w:rPr>
        <w:t>Efficiency measures and evidence expected in the annual </w:t>
      </w:r>
      <w:r>
        <w:rPr>
          <w:color w:val="168749"/>
          <w:spacing w:val="-2"/>
        </w:rPr>
        <w:t>report.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13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Inventory </w:t>
      </w:r>
      <w:r>
        <w:rPr>
          <w:color w:val="151F34"/>
          <w:spacing w:val="-2"/>
        </w:rPr>
        <w:t>Boundary</w:t>
      </w:r>
    </w:p>
    <w:p>
      <w:pPr>
        <w:pStyle w:val="Heading2"/>
        <w:spacing w:before="213"/>
      </w:pPr>
      <w:r>
        <w:rPr>
          <w:color w:val="168749"/>
        </w:rPr>
        <w:t>Organisational and operational boundary for the carbon </w:t>
      </w:r>
      <w:r>
        <w:rPr>
          <w:color w:val="168749"/>
          <w:spacing w:val="-2"/>
        </w:rPr>
        <w:t>inventory.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14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Included </w:t>
      </w:r>
      <w:r>
        <w:rPr>
          <w:color w:val="151F34"/>
          <w:spacing w:val="-2"/>
        </w:rPr>
        <w:t>Sources</w:t>
      </w:r>
    </w:p>
    <w:p>
      <w:pPr>
        <w:pStyle w:val="Heading2"/>
        <w:spacing w:before="213"/>
      </w:pPr>
      <w:r>
        <w:rPr>
          <w:color w:val="168749"/>
        </w:rPr>
        <w:t>Energy and activity sources included in the current </w:t>
      </w:r>
      <w:r>
        <w:rPr>
          <w:color w:val="168749"/>
          <w:spacing w:val="-2"/>
        </w:rPr>
        <w:t>draft.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15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Excluded </w:t>
      </w:r>
      <w:r>
        <w:rPr>
          <w:color w:val="151F34"/>
          <w:spacing w:val="-2"/>
        </w:rPr>
        <w:t>Sources</w:t>
      </w:r>
    </w:p>
    <w:p>
      <w:pPr>
        <w:pStyle w:val="Heading2"/>
        <w:spacing w:before="213"/>
      </w:pPr>
      <w:r>
        <w:rPr>
          <w:color w:val="168749"/>
        </w:rPr>
        <w:t>Sources not yet included and evidence needed before </w:t>
      </w:r>
      <w:r>
        <w:rPr>
          <w:color w:val="168749"/>
          <w:spacing w:val="-2"/>
        </w:rPr>
        <w:t>finalization.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16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Calculation </w:t>
      </w:r>
      <w:r>
        <w:rPr>
          <w:color w:val="151F34"/>
          <w:spacing w:val="-2"/>
        </w:rPr>
        <w:t>Method</w:t>
      </w:r>
    </w:p>
    <w:p>
      <w:pPr>
        <w:pStyle w:val="Heading2"/>
        <w:spacing w:before="213"/>
      </w:pPr>
      <w:r>
        <w:rPr>
          <w:color w:val="168749"/>
        </w:rPr>
        <w:t>Activity data, units, factor application and quality </w:t>
      </w:r>
      <w:r>
        <w:rPr>
          <w:color w:val="168749"/>
          <w:spacing w:val="-2"/>
        </w:rPr>
        <w:t>checks.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17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Emission Factor </w:t>
      </w:r>
      <w:r>
        <w:rPr>
          <w:color w:val="151F34"/>
          <w:spacing w:val="-2"/>
        </w:rPr>
        <w:t>Control</w:t>
      </w:r>
    </w:p>
    <w:p>
      <w:pPr>
        <w:pStyle w:val="Heading2"/>
        <w:spacing w:before="213"/>
      </w:pPr>
      <w:r>
        <w:rPr>
          <w:color w:val="168749"/>
        </w:rPr>
        <w:t>Version control for UK conversion factors and </w:t>
      </w:r>
      <w:r>
        <w:rPr>
          <w:color w:val="168749"/>
          <w:spacing w:val="-2"/>
        </w:rPr>
        <w:t>assumptions.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18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Data Quality </w:t>
      </w:r>
      <w:r>
        <w:rPr>
          <w:color w:val="151F34"/>
          <w:spacing w:val="-2"/>
        </w:rPr>
        <w:t>Rating</w:t>
      </w:r>
    </w:p>
    <w:p>
      <w:pPr>
        <w:pStyle w:val="Heading2"/>
        <w:spacing w:before="213"/>
      </w:pPr>
      <w:r>
        <w:rPr>
          <w:color w:val="168749"/>
        </w:rPr>
        <w:t>Completeness, accuracy and audit readiness of source </w:t>
      </w:r>
      <w:r>
        <w:rPr>
          <w:color w:val="168749"/>
          <w:spacing w:val="-2"/>
        </w:rPr>
        <w:t>data.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19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Audit </w:t>
      </w:r>
      <w:r>
        <w:rPr>
          <w:color w:val="151F34"/>
          <w:spacing w:val="-2"/>
        </w:rPr>
        <w:t>Trail</w:t>
      </w:r>
    </w:p>
    <w:p>
      <w:pPr>
        <w:pStyle w:val="Heading2"/>
        <w:spacing w:before="213"/>
      </w:pPr>
      <w:r>
        <w:rPr>
          <w:color w:val="168749"/>
        </w:rPr>
        <w:t>Traceability from invoice source to output </w:t>
      </w:r>
      <w:r>
        <w:rPr>
          <w:color w:val="168749"/>
          <w:spacing w:val="-2"/>
        </w:rPr>
        <w:t>table.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20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Invoice </w:t>
      </w:r>
      <w:r>
        <w:rPr>
          <w:color w:val="151F34"/>
          <w:spacing w:val="-2"/>
        </w:rPr>
        <w:t>Register</w:t>
      </w:r>
    </w:p>
    <w:p>
      <w:pPr>
        <w:pStyle w:val="Heading2"/>
        <w:spacing w:before="213"/>
      </w:pPr>
      <w:r>
        <w:rPr>
          <w:color w:val="168749"/>
        </w:rPr>
        <w:t>Invoice-wise emissions breakdown and source </w:t>
      </w:r>
      <w:r>
        <w:rPr>
          <w:color w:val="168749"/>
          <w:spacing w:val="-2"/>
        </w:rPr>
        <w:t>evidence.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Bill </w:t>
            </w:r>
            <w:r>
              <w:rPr>
                <w:color w:val="151F34"/>
                <w:spacing w:val="-2"/>
                <w:sz w:val="17"/>
              </w:rPr>
              <w:t>(3).pdf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Purchased </w:t>
            </w:r>
            <w:r>
              <w:rPr>
                <w:color w:val="151F34"/>
                <w:spacing w:val="-2"/>
                <w:sz w:val="17"/>
              </w:rPr>
              <w:t>electricity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281.56 </w:t>
            </w:r>
            <w:r>
              <w:rPr>
                <w:color w:val="151F34"/>
                <w:spacing w:val="-5"/>
                <w:sz w:val="17"/>
              </w:rPr>
              <w:t>kWh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Mapped </w:t>
            </w:r>
            <w:r>
              <w:rPr>
                <w:color w:val="151F34"/>
                <w:spacing w:val="-2"/>
                <w:sz w:val="17"/>
              </w:rPr>
              <w:t>scope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Scope </w:t>
            </w:r>
            <w:r>
              <w:rPr>
                <w:color w:val="151F34"/>
                <w:spacing w:val="-10"/>
                <w:sz w:val="17"/>
              </w:rPr>
              <w:t>2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UK </w:t>
            </w:r>
            <w:r>
              <w:rPr>
                <w:color w:val="151F34"/>
                <w:spacing w:val="-2"/>
                <w:sz w:val="17"/>
              </w:rPr>
              <w:t>electricity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Calculated </w:t>
            </w:r>
            <w:r>
              <w:rPr>
                <w:color w:val="151F34"/>
                <w:spacing w:val="-2"/>
                <w:sz w:val="17"/>
              </w:rPr>
              <w:t>emissions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0.1999 </w:t>
            </w:r>
            <w:r>
              <w:rPr>
                <w:color w:val="151F34"/>
                <w:spacing w:val="-2"/>
                <w:sz w:val="17"/>
              </w:rPr>
              <w:t>tCO2e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Draft factor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Review </w:t>
            </w:r>
            <w:r>
              <w:rPr>
                <w:color w:val="151F34"/>
                <w:spacing w:val="-2"/>
                <w:sz w:val="17"/>
              </w:rPr>
              <w:t>status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Pending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Client sign-off </w:t>
            </w:r>
            <w:r>
              <w:rPr>
                <w:color w:val="151F34"/>
                <w:spacing w:val="-2"/>
                <w:sz w:val="17"/>
              </w:rPr>
              <w:t>required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Item </w:t>
      </w:r>
      <w:r>
        <w:rPr>
          <w:color w:val="151F34"/>
          <w:spacing w:val="-2"/>
        </w:rPr>
        <w:t>Extraction</w:t>
      </w:r>
    </w:p>
    <w:p>
      <w:pPr>
        <w:pStyle w:val="Heading2"/>
        <w:spacing w:before="213"/>
      </w:pPr>
      <w:r>
        <w:rPr>
          <w:color w:val="168749"/>
        </w:rPr>
        <w:t>Line item extraction and category mapping </w:t>
      </w:r>
      <w:r>
        <w:rPr>
          <w:color w:val="168749"/>
          <w:spacing w:val="-2"/>
        </w:rPr>
        <w:t>notes.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Bill </w:t>
            </w:r>
            <w:r>
              <w:rPr>
                <w:color w:val="151F34"/>
                <w:spacing w:val="-2"/>
                <w:sz w:val="17"/>
              </w:rPr>
              <w:t>(3).pdf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Purchased </w:t>
            </w:r>
            <w:r>
              <w:rPr>
                <w:color w:val="151F34"/>
                <w:spacing w:val="-2"/>
                <w:sz w:val="17"/>
              </w:rPr>
              <w:t>electricity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281.56 </w:t>
            </w:r>
            <w:r>
              <w:rPr>
                <w:color w:val="151F34"/>
                <w:spacing w:val="-5"/>
                <w:sz w:val="17"/>
              </w:rPr>
              <w:t>kWh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Mapped </w:t>
            </w:r>
            <w:r>
              <w:rPr>
                <w:color w:val="151F34"/>
                <w:spacing w:val="-2"/>
                <w:sz w:val="17"/>
              </w:rPr>
              <w:t>scope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Scope </w:t>
            </w:r>
            <w:r>
              <w:rPr>
                <w:color w:val="151F34"/>
                <w:spacing w:val="-10"/>
                <w:sz w:val="17"/>
              </w:rPr>
              <w:t>2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UK </w:t>
            </w:r>
            <w:r>
              <w:rPr>
                <w:color w:val="151F34"/>
                <w:spacing w:val="-2"/>
                <w:sz w:val="17"/>
              </w:rPr>
              <w:t>electricity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Calculated </w:t>
            </w:r>
            <w:r>
              <w:rPr>
                <w:color w:val="151F34"/>
                <w:spacing w:val="-2"/>
                <w:sz w:val="17"/>
              </w:rPr>
              <w:t>emissions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0.1999 </w:t>
            </w:r>
            <w:r>
              <w:rPr>
                <w:color w:val="151F34"/>
                <w:spacing w:val="-2"/>
                <w:sz w:val="17"/>
              </w:rPr>
              <w:t>tCO2e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Draft factor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Review </w:t>
            </w:r>
            <w:r>
              <w:rPr>
                <w:color w:val="151F34"/>
                <w:spacing w:val="-2"/>
                <w:sz w:val="17"/>
              </w:rPr>
              <w:t>status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Pending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Client sign-off </w:t>
            </w:r>
            <w:r>
              <w:rPr>
                <w:color w:val="151F34"/>
                <w:spacing w:val="-2"/>
                <w:sz w:val="17"/>
              </w:rPr>
              <w:t>required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Electricity </w:t>
      </w:r>
      <w:r>
        <w:rPr>
          <w:color w:val="151F34"/>
          <w:spacing w:val="-2"/>
        </w:rPr>
        <w:t>Calculation</w:t>
      </w:r>
    </w:p>
    <w:p>
      <w:pPr>
        <w:pStyle w:val="Heading2"/>
        <w:spacing w:before="213"/>
      </w:pPr>
      <w:r>
        <w:rPr>
          <w:color w:val="168749"/>
        </w:rPr>
        <w:t>Purchased electricity calculation </w:t>
      </w:r>
      <w:r>
        <w:rPr>
          <w:color w:val="168749"/>
          <w:spacing w:val="-2"/>
        </w:rPr>
        <w:t>details.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Bill </w:t>
            </w:r>
            <w:r>
              <w:rPr>
                <w:color w:val="151F34"/>
                <w:spacing w:val="-2"/>
                <w:sz w:val="17"/>
              </w:rPr>
              <w:t>(3).pdf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Purchased </w:t>
            </w:r>
            <w:r>
              <w:rPr>
                <w:color w:val="151F34"/>
                <w:spacing w:val="-2"/>
                <w:sz w:val="17"/>
              </w:rPr>
              <w:t>electricity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281.56 </w:t>
            </w:r>
            <w:r>
              <w:rPr>
                <w:color w:val="151F34"/>
                <w:spacing w:val="-5"/>
                <w:sz w:val="17"/>
              </w:rPr>
              <w:t>kWh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Mapped </w:t>
            </w:r>
            <w:r>
              <w:rPr>
                <w:color w:val="151F34"/>
                <w:spacing w:val="-2"/>
                <w:sz w:val="17"/>
              </w:rPr>
              <w:t>scope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Scope </w:t>
            </w:r>
            <w:r>
              <w:rPr>
                <w:color w:val="151F34"/>
                <w:spacing w:val="-10"/>
                <w:sz w:val="17"/>
              </w:rPr>
              <w:t>2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UK </w:t>
            </w:r>
            <w:r>
              <w:rPr>
                <w:color w:val="151F34"/>
                <w:spacing w:val="-2"/>
                <w:sz w:val="17"/>
              </w:rPr>
              <w:t>electricity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Calculated </w:t>
            </w:r>
            <w:r>
              <w:rPr>
                <w:color w:val="151F34"/>
                <w:spacing w:val="-2"/>
                <w:sz w:val="17"/>
              </w:rPr>
              <w:t>emissions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0.1999 </w:t>
            </w:r>
            <w:r>
              <w:rPr>
                <w:color w:val="151F34"/>
                <w:spacing w:val="-2"/>
                <w:sz w:val="17"/>
              </w:rPr>
              <w:t>tCO2e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Draft factor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Review </w:t>
            </w:r>
            <w:r>
              <w:rPr>
                <w:color w:val="151F34"/>
                <w:spacing w:val="-2"/>
                <w:sz w:val="17"/>
              </w:rPr>
              <w:t>status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Pending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Client sign-off </w:t>
            </w:r>
            <w:r>
              <w:rPr>
                <w:color w:val="151F34"/>
                <w:spacing w:val="-2"/>
                <w:sz w:val="17"/>
              </w:rPr>
              <w:t>required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Scope 1 </w:t>
      </w:r>
      <w:r>
        <w:rPr>
          <w:color w:val="151F34"/>
          <w:spacing w:val="-2"/>
        </w:rPr>
        <w:t>Register</w:t>
      </w:r>
    </w:p>
    <w:p>
      <w:pPr>
        <w:pStyle w:val="Heading2"/>
        <w:spacing w:before="213"/>
      </w:pPr>
      <w:r>
        <w:rPr>
          <w:color w:val="168749"/>
        </w:rPr>
        <w:t>Direct emissions data request and placeholder </w:t>
      </w:r>
      <w:r>
        <w:rPr>
          <w:color w:val="168749"/>
          <w:spacing w:val="-2"/>
        </w:rPr>
        <w:t>register.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24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Scope 2 </w:t>
      </w:r>
      <w:r>
        <w:rPr>
          <w:color w:val="151F34"/>
          <w:spacing w:val="-2"/>
        </w:rPr>
        <w:t>Register</w:t>
      </w:r>
    </w:p>
    <w:p>
      <w:pPr>
        <w:pStyle w:val="Heading2"/>
        <w:spacing w:before="213"/>
      </w:pPr>
      <w:r>
        <w:rPr>
          <w:color w:val="168749"/>
        </w:rPr>
        <w:t>Purchased electricity record and calculation </w:t>
      </w:r>
      <w:r>
        <w:rPr>
          <w:color w:val="168749"/>
          <w:spacing w:val="-2"/>
        </w:rPr>
        <w:t>control.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Bill </w:t>
            </w:r>
            <w:r>
              <w:rPr>
                <w:color w:val="151F34"/>
                <w:spacing w:val="-2"/>
                <w:sz w:val="17"/>
              </w:rPr>
              <w:t>(3).pdf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Purchased </w:t>
            </w:r>
            <w:r>
              <w:rPr>
                <w:color w:val="151F34"/>
                <w:spacing w:val="-2"/>
                <w:sz w:val="17"/>
              </w:rPr>
              <w:t>electricity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281.56 </w:t>
            </w:r>
            <w:r>
              <w:rPr>
                <w:color w:val="151F34"/>
                <w:spacing w:val="-5"/>
                <w:sz w:val="17"/>
              </w:rPr>
              <w:t>kWh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Mapped </w:t>
            </w:r>
            <w:r>
              <w:rPr>
                <w:color w:val="151F34"/>
                <w:spacing w:val="-2"/>
                <w:sz w:val="17"/>
              </w:rPr>
              <w:t>scope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Scope </w:t>
            </w:r>
            <w:r>
              <w:rPr>
                <w:color w:val="151F34"/>
                <w:spacing w:val="-10"/>
                <w:sz w:val="17"/>
              </w:rPr>
              <w:t>2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UK </w:t>
            </w:r>
            <w:r>
              <w:rPr>
                <w:color w:val="151F34"/>
                <w:spacing w:val="-2"/>
                <w:sz w:val="17"/>
              </w:rPr>
              <w:t>electricity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Calculated </w:t>
            </w:r>
            <w:r>
              <w:rPr>
                <w:color w:val="151F34"/>
                <w:spacing w:val="-2"/>
                <w:sz w:val="17"/>
              </w:rPr>
              <w:t>emissions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0.1999 </w:t>
            </w:r>
            <w:r>
              <w:rPr>
                <w:color w:val="151F34"/>
                <w:spacing w:val="-2"/>
                <w:sz w:val="17"/>
              </w:rPr>
              <w:t>tCO2e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Draft factor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Review </w:t>
            </w:r>
            <w:r>
              <w:rPr>
                <w:color w:val="151F34"/>
                <w:spacing w:val="-2"/>
                <w:sz w:val="17"/>
              </w:rPr>
              <w:t>status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Pending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Client sign-off </w:t>
            </w:r>
            <w:r>
              <w:rPr>
                <w:color w:val="151F34"/>
                <w:spacing w:val="-2"/>
                <w:sz w:val="17"/>
              </w:rPr>
              <w:t>required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Scope 3 </w:t>
      </w:r>
      <w:r>
        <w:rPr>
          <w:color w:val="151F34"/>
          <w:spacing w:val="-2"/>
        </w:rPr>
        <w:t>Screening</w:t>
      </w:r>
    </w:p>
    <w:p>
      <w:pPr>
        <w:pStyle w:val="Heading2"/>
        <w:spacing w:before="213"/>
      </w:pPr>
      <w:r>
        <w:rPr>
          <w:color w:val="168749"/>
        </w:rPr>
        <w:t>Value-chain categories for next-stage </w:t>
      </w:r>
      <w:r>
        <w:rPr>
          <w:color w:val="168749"/>
          <w:spacing w:val="-2"/>
        </w:rPr>
        <w:t>reporting.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26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Evidence </w:t>
      </w:r>
      <w:r>
        <w:rPr>
          <w:color w:val="151F34"/>
          <w:spacing w:val="-4"/>
        </w:rPr>
        <w:t>Gaps</w:t>
      </w:r>
    </w:p>
    <w:p>
      <w:pPr>
        <w:pStyle w:val="Heading2"/>
        <w:spacing w:before="213"/>
      </w:pPr>
      <w:r>
        <w:rPr>
          <w:color w:val="168749"/>
        </w:rPr>
        <w:t>Missing evidence and follow-up data </w:t>
      </w:r>
      <w:r>
        <w:rPr>
          <w:color w:val="168749"/>
          <w:spacing w:val="-2"/>
        </w:rPr>
        <w:t>required.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27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Energy Performance </w:t>
      </w:r>
      <w:r>
        <w:rPr>
          <w:color w:val="151F34"/>
          <w:spacing w:val="-2"/>
        </w:rPr>
        <w:t>Dashboard</w:t>
      </w:r>
    </w:p>
    <w:p>
      <w:pPr>
        <w:pStyle w:val="Heading2"/>
        <w:spacing w:before="213"/>
      </w:pPr>
      <w:r>
        <w:rPr>
          <w:color w:val="168749"/>
        </w:rPr>
        <w:t>Energy consumption and carbon intensity </w:t>
      </w:r>
      <w:r>
        <w:rPr>
          <w:color w:val="168749"/>
          <w:spacing w:val="-2"/>
        </w:rPr>
        <w:t>dashboard.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28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Electricity Consumption </w:t>
      </w:r>
      <w:r>
        <w:rPr>
          <w:color w:val="151F34"/>
          <w:spacing w:val="-2"/>
        </w:rPr>
        <w:t>Trend</w:t>
      </w:r>
    </w:p>
    <w:p>
      <w:pPr>
        <w:pStyle w:val="Heading2"/>
        <w:spacing w:before="213"/>
      </w:pPr>
      <w:r>
        <w:rPr>
          <w:color w:val="168749"/>
        </w:rPr>
        <w:t>Quarterly consumption view for management </w:t>
      </w:r>
      <w:r>
        <w:rPr>
          <w:color w:val="168749"/>
          <w:spacing w:val="-2"/>
        </w:rPr>
        <w:t>monitoring.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29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KPI </w:t>
      </w:r>
      <w:r>
        <w:rPr>
          <w:color w:val="151F34"/>
          <w:spacing w:val="-2"/>
        </w:rPr>
        <w:t>Definitions</w:t>
      </w:r>
    </w:p>
    <w:p>
      <w:pPr>
        <w:pStyle w:val="Heading2"/>
        <w:spacing w:before="213"/>
      </w:pPr>
      <w:r>
        <w:rPr>
          <w:color w:val="168749"/>
        </w:rPr>
        <w:t>Dictionary of recurring energy and carbon </w:t>
      </w:r>
      <w:r>
        <w:rPr>
          <w:color w:val="168749"/>
          <w:spacing w:val="-2"/>
        </w:rPr>
        <w:t>indicators.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30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Benchmarking </w:t>
      </w:r>
      <w:r>
        <w:rPr>
          <w:color w:val="151F34"/>
          <w:spacing w:val="-2"/>
        </w:rPr>
        <w:t>Notes</w:t>
      </w:r>
    </w:p>
    <w:p>
      <w:pPr>
        <w:pStyle w:val="Heading2"/>
        <w:spacing w:before="213"/>
      </w:pPr>
      <w:r>
        <w:rPr>
          <w:color w:val="168749"/>
        </w:rPr>
        <w:t>How to compare performance across sites or </w:t>
      </w:r>
      <w:r>
        <w:rPr>
          <w:color w:val="168749"/>
          <w:spacing w:val="-2"/>
        </w:rPr>
        <w:t>periods.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31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Target </w:t>
      </w:r>
      <w:r>
        <w:rPr>
          <w:color w:val="151F34"/>
          <w:spacing w:val="-2"/>
        </w:rPr>
        <w:t>Baseline</w:t>
      </w:r>
    </w:p>
    <w:p>
      <w:pPr>
        <w:pStyle w:val="Heading2"/>
        <w:spacing w:before="213"/>
      </w:pPr>
      <w:r>
        <w:rPr>
          <w:color w:val="168749"/>
        </w:rPr>
        <w:t>Recommended baseline and target tracking </w:t>
      </w:r>
      <w:r>
        <w:rPr>
          <w:color w:val="168749"/>
          <w:spacing w:val="-2"/>
        </w:rPr>
        <w:t>approach.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32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Assurance </w:t>
      </w:r>
      <w:r>
        <w:rPr>
          <w:color w:val="151F34"/>
          <w:spacing w:val="-4"/>
        </w:rPr>
        <w:t>Pack</w:t>
      </w:r>
    </w:p>
    <w:p>
      <w:pPr>
        <w:pStyle w:val="Heading2"/>
        <w:spacing w:before="213"/>
      </w:pPr>
      <w:r>
        <w:rPr>
          <w:color w:val="168749"/>
        </w:rPr>
        <w:t>Evidence bundle needed for internal or external </w:t>
      </w:r>
      <w:r>
        <w:rPr>
          <w:color w:val="168749"/>
          <w:spacing w:val="-2"/>
        </w:rPr>
        <w:t>review.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33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Governance </w:t>
      </w:r>
      <w:r>
        <w:rPr>
          <w:color w:val="151F34"/>
          <w:spacing w:val="-2"/>
        </w:rPr>
        <w:t>Overview</w:t>
      </w:r>
    </w:p>
    <w:p>
      <w:pPr>
        <w:pStyle w:val="Heading2"/>
        <w:spacing w:before="213"/>
      </w:pPr>
      <w:r>
        <w:rPr>
          <w:color w:val="168749"/>
        </w:rPr>
        <w:t>Roles and responsibilities for UK carbon </w:t>
      </w:r>
      <w:r>
        <w:rPr>
          <w:color w:val="168749"/>
          <w:spacing w:val="-2"/>
        </w:rPr>
        <w:t>reporting.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34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Board Review </w:t>
      </w:r>
      <w:r>
        <w:rPr>
          <w:color w:val="151F34"/>
          <w:spacing w:val="-4"/>
        </w:rPr>
        <w:t>Pack</w:t>
      </w:r>
    </w:p>
    <w:p>
      <w:pPr>
        <w:pStyle w:val="Heading2"/>
        <w:spacing w:before="213"/>
      </w:pPr>
      <w:r>
        <w:rPr>
          <w:color w:val="168749"/>
        </w:rPr>
        <w:t>Board-level climate and energy review </w:t>
      </w:r>
      <w:r>
        <w:rPr>
          <w:color w:val="168749"/>
          <w:spacing w:val="-2"/>
        </w:rPr>
        <w:t>content.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35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Risk </w:t>
      </w:r>
      <w:r>
        <w:rPr>
          <w:color w:val="151F34"/>
          <w:spacing w:val="-2"/>
        </w:rPr>
        <w:t>Management</w:t>
      </w:r>
    </w:p>
    <w:p>
      <w:pPr>
        <w:pStyle w:val="Heading2"/>
        <w:spacing w:before="213"/>
      </w:pPr>
      <w:r>
        <w:rPr>
          <w:color w:val="168749"/>
        </w:rPr>
        <w:t>Energy, carbon and climate-related risk </w:t>
      </w:r>
      <w:r>
        <w:rPr>
          <w:color w:val="168749"/>
          <w:spacing w:val="-2"/>
        </w:rPr>
        <w:t>register.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36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Climate Disclosure </w:t>
      </w:r>
      <w:r>
        <w:rPr>
          <w:color w:val="151F34"/>
          <w:spacing w:val="-2"/>
        </w:rPr>
        <w:t>Readiness</w:t>
      </w:r>
    </w:p>
    <w:p>
      <w:pPr>
        <w:pStyle w:val="Heading2"/>
        <w:spacing w:before="213"/>
      </w:pPr>
      <w:r>
        <w:rPr>
          <w:color w:val="168749"/>
        </w:rPr>
        <w:t>Optional climate-related financial disclosure </w:t>
      </w:r>
      <w:r>
        <w:rPr>
          <w:color w:val="168749"/>
          <w:spacing w:val="-2"/>
        </w:rPr>
        <w:t>readiness.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37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Controls and Sign-</w:t>
      </w:r>
      <w:r>
        <w:rPr>
          <w:color w:val="151F34"/>
          <w:spacing w:val="-5"/>
        </w:rPr>
        <w:t>off</w:t>
      </w:r>
    </w:p>
    <w:p>
      <w:pPr>
        <w:pStyle w:val="Heading2"/>
        <w:spacing w:before="213"/>
      </w:pPr>
      <w:r>
        <w:rPr>
          <w:color w:val="168749"/>
        </w:rPr>
        <w:t>Prepared, reviewed and approved control </w:t>
      </w:r>
      <w:r>
        <w:rPr>
          <w:color w:val="168749"/>
          <w:spacing w:val="-2"/>
        </w:rPr>
        <w:t>model.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38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Policy </w:t>
      </w:r>
      <w:r>
        <w:rPr>
          <w:color w:val="151F34"/>
          <w:spacing w:val="-2"/>
        </w:rPr>
        <w:t>Alignment</w:t>
      </w:r>
    </w:p>
    <w:p>
      <w:pPr>
        <w:pStyle w:val="Heading2"/>
        <w:spacing w:before="213"/>
      </w:pPr>
      <w:r>
        <w:rPr>
          <w:color w:val="168749"/>
        </w:rPr>
        <w:t>Relevant policies for energy, procurement and </w:t>
      </w:r>
      <w:r>
        <w:rPr>
          <w:color w:val="168749"/>
          <w:spacing w:val="-2"/>
        </w:rPr>
        <w:t>travel.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39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Data Operating </w:t>
      </w:r>
      <w:r>
        <w:rPr>
          <w:color w:val="151F34"/>
          <w:spacing w:val="-2"/>
        </w:rPr>
        <w:t>Model</w:t>
      </w:r>
    </w:p>
    <w:p>
      <w:pPr>
        <w:pStyle w:val="Heading2"/>
        <w:spacing w:before="213"/>
      </w:pPr>
      <w:r>
        <w:rPr>
          <w:color w:val="168749"/>
        </w:rPr>
        <w:t>Ongoing monthly data collection and review </w:t>
      </w:r>
      <w:r>
        <w:rPr>
          <w:color w:val="168749"/>
          <w:spacing w:val="-2"/>
        </w:rPr>
        <w:t>process.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40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Decarbonisation </w:t>
      </w:r>
      <w:r>
        <w:rPr>
          <w:color w:val="151F34"/>
          <w:spacing w:val="-2"/>
        </w:rPr>
        <w:t>Roadmap</w:t>
      </w:r>
    </w:p>
    <w:p>
      <w:pPr>
        <w:pStyle w:val="Heading2"/>
        <w:spacing w:before="213"/>
      </w:pPr>
      <w:r>
        <w:rPr>
          <w:color w:val="168749"/>
        </w:rPr>
        <w:t>Priority actions to reduce energy use and </w:t>
      </w:r>
      <w:r>
        <w:rPr>
          <w:color w:val="168749"/>
          <w:spacing w:val="-2"/>
        </w:rPr>
        <w:t>emissions.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4"/>
                <w:sz w:val="17"/>
              </w:rPr>
              <w:t>High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Reconcile invoices to </w:t>
            </w:r>
            <w:r>
              <w:rPr>
                <w:color w:val="151F34"/>
                <w:spacing w:val="-2"/>
                <w:sz w:val="17"/>
              </w:rPr>
              <w:t>meters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Data </w:t>
            </w:r>
            <w:r>
              <w:rPr>
                <w:color w:val="151F34"/>
                <w:spacing w:val="-2"/>
                <w:sz w:val="17"/>
              </w:rPr>
              <w:t>confidence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4"/>
                <w:sz w:val="17"/>
              </w:rPr>
              <w:t>High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Lock factor set for reporting </w:t>
            </w:r>
            <w:r>
              <w:rPr>
                <w:color w:val="151F34"/>
                <w:spacing w:val="-4"/>
                <w:sz w:val="17"/>
              </w:rPr>
              <w:t>year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control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Medium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Create efficiency </w:t>
            </w:r>
            <w:r>
              <w:rPr>
                <w:color w:val="151F34"/>
                <w:spacing w:val="-2"/>
                <w:sz w:val="17"/>
              </w:rPr>
              <w:t>register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Energy </w:t>
            </w:r>
            <w:r>
              <w:rPr>
                <w:color w:val="151F34"/>
                <w:spacing w:val="-2"/>
                <w:sz w:val="17"/>
              </w:rPr>
              <w:t>reduction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Medium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Screen travel and </w:t>
            </w:r>
            <w:r>
              <w:rPr>
                <w:color w:val="151F34"/>
                <w:spacing w:val="-2"/>
                <w:sz w:val="17"/>
              </w:rPr>
              <w:t>suppliers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Scope 3 </w:t>
            </w:r>
            <w:r>
              <w:rPr>
                <w:color w:val="151F34"/>
                <w:spacing w:val="-2"/>
                <w:sz w:val="17"/>
              </w:rPr>
              <w:t>expansion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0-30 Day </w:t>
      </w:r>
      <w:r>
        <w:rPr>
          <w:color w:val="151F34"/>
          <w:spacing w:val="-2"/>
        </w:rPr>
        <w:t>Actions</w:t>
      </w:r>
    </w:p>
    <w:p>
      <w:pPr>
        <w:pStyle w:val="Heading2"/>
        <w:spacing w:before="213"/>
      </w:pPr>
      <w:r>
        <w:rPr>
          <w:color w:val="168749"/>
        </w:rPr>
        <w:t>Immediate data and control </w:t>
      </w:r>
      <w:r>
        <w:rPr>
          <w:color w:val="168749"/>
          <w:spacing w:val="-2"/>
        </w:rPr>
        <w:t>improvements.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4"/>
                <w:sz w:val="17"/>
              </w:rPr>
              <w:t>High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Reconcile invoices to </w:t>
            </w:r>
            <w:r>
              <w:rPr>
                <w:color w:val="151F34"/>
                <w:spacing w:val="-2"/>
                <w:sz w:val="17"/>
              </w:rPr>
              <w:t>meters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Data </w:t>
            </w:r>
            <w:r>
              <w:rPr>
                <w:color w:val="151F34"/>
                <w:spacing w:val="-2"/>
                <w:sz w:val="17"/>
              </w:rPr>
              <w:t>confidence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4"/>
                <w:sz w:val="17"/>
              </w:rPr>
              <w:t>High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Lock factor set for reporting </w:t>
            </w:r>
            <w:r>
              <w:rPr>
                <w:color w:val="151F34"/>
                <w:spacing w:val="-4"/>
                <w:sz w:val="17"/>
              </w:rPr>
              <w:t>year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control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Medium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Create efficiency </w:t>
            </w:r>
            <w:r>
              <w:rPr>
                <w:color w:val="151F34"/>
                <w:spacing w:val="-2"/>
                <w:sz w:val="17"/>
              </w:rPr>
              <w:t>register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Energy </w:t>
            </w:r>
            <w:r>
              <w:rPr>
                <w:color w:val="151F34"/>
                <w:spacing w:val="-2"/>
                <w:sz w:val="17"/>
              </w:rPr>
              <w:t>reduction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Medium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Screen travel and </w:t>
            </w:r>
            <w:r>
              <w:rPr>
                <w:color w:val="151F34"/>
                <w:spacing w:val="-2"/>
                <w:sz w:val="17"/>
              </w:rPr>
              <w:t>suppliers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Scope 3 </w:t>
            </w:r>
            <w:r>
              <w:rPr>
                <w:color w:val="151F34"/>
                <w:spacing w:val="-2"/>
                <w:sz w:val="17"/>
              </w:rPr>
              <w:t>expansion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31-90 Day </w:t>
      </w:r>
      <w:r>
        <w:rPr>
          <w:color w:val="151F34"/>
          <w:spacing w:val="-2"/>
        </w:rPr>
        <w:t>Actions</w:t>
      </w:r>
    </w:p>
    <w:p>
      <w:pPr>
        <w:pStyle w:val="Heading2"/>
        <w:spacing w:before="213"/>
      </w:pPr>
      <w:r>
        <w:rPr>
          <w:color w:val="168749"/>
        </w:rPr>
        <w:t>Operational improvements and evidence </w:t>
      </w:r>
      <w:r>
        <w:rPr>
          <w:color w:val="168749"/>
          <w:spacing w:val="-2"/>
        </w:rPr>
        <w:t>closure.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4"/>
                <w:sz w:val="17"/>
              </w:rPr>
              <w:t>High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Reconcile invoices to </w:t>
            </w:r>
            <w:r>
              <w:rPr>
                <w:color w:val="151F34"/>
                <w:spacing w:val="-2"/>
                <w:sz w:val="17"/>
              </w:rPr>
              <w:t>meters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Data </w:t>
            </w:r>
            <w:r>
              <w:rPr>
                <w:color w:val="151F34"/>
                <w:spacing w:val="-2"/>
                <w:sz w:val="17"/>
              </w:rPr>
              <w:t>confidence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4"/>
                <w:sz w:val="17"/>
              </w:rPr>
              <w:t>High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Lock factor set for reporting </w:t>
            </w:r>
            <w:r>
              <w:rPr>
                <w:color w:val="151F34"/>
                <w:spacing w:val="-4"/>
                <w:sz w:val="17"/>
              </w:rPr>
              <w:t>year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control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Medium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Create efficiency </w:t>
            </w:r>
            <w:r>
              <w:rPr>
                <w:color w:val="151F34"/>
                <w:spacing w:val="-2"/>
                <w:sz w:val="17"/>
              </w:rPr>
              <w:t>register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Energy </w:t>
            </w:r>
            <w:r>
              <w:rPr>
                <w:color w:val="151F34"/>
                <w:spacing w:val="-2"/>
                <w:sz w:val="17"/>
              </w:rPr>
              <w:t>reduction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Medium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Screen travel and </w:t>
            </w:r>
            <w:r>
              <w:rPr>
                <w:color w:val="151F34"/>
                <w:spacing w:val="-2"/>
                <w:sz w:val="17"/>
              </w:rPr>
              <w:t>suppliers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Scope 3 </w:t>
            </w:r>
            <w:r>
              <w:rPr>
                <w:color w:val="151F34"/>
                <w:spacing w:val="-2"/>
                <w:sz w:val="17"/>
              </w:rPr>
              <w:t>expansion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6-12 Month </w:t>
      </w:r>
      <w:r>
        <w:rPr>
          <w:color w:val="151F34"/>
          <w:spacing w:val="-2"/>
        </w:rPr>
        <w:t>Actions</w:t>
      </w:r>
    </w:p>
    <w:p>
      <w:pPr>
        <w:pStyle w:val="Heading2"/>
        <w:spacing w:before="213"/>
      </w:pPr>
      <w:r>
        <w:rPr>
          <w:color w:val="168749"/>
        </w:rPr>
        <w:t>Renewable procurement and efficiency </w:t>
      </w:r>
      <w:r>
        <w:rPr>
          <w:color w:val="168749"/>
          <w:spacing w:val="-2"/>
        </w:rPr>
        <w:t>projects.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4"/>
                <w:sz w:val="17"/>
              </w:rPr>
              <w:t>High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Reconcile invoices to </w:t>
            </w:r>
            <w:r>
              <w:rPr>
                <w:color w:val="151F34"/>
                <w:spacing w:val="-2"/>
                <w:sz w:val="17"/>
              </w:rPr>
              <w:t>meters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Data </w:t>
            </w:r>
            <w:r>
              <w:rPr>
                <w:color w:val="151F34"/>
                <w:spacing w:val="-2"/>
                <w:sz w:val="17"/>
              </w:rPr>
              <w:t>confidence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4"/>
                <w:sz w:val="17"/>
              </w:rPr>
              <w:t>High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Lock factor set for reporting </w:t>
            </w:r>
            <w:r>
              <w:rPr>
                <w:color w:val="151F34"/>
                <w:spacing w:val="-4"/>
                <w:sz w:val="17"/>
              </w:rPr>
              <w:t>year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control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Medium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Create efficiency </w:t>
            </w:r>
            <w:r>
              <w:rPr>
                <w:color w:val="151F34"/>
                <w:spacing w:val="-2"/>
                <w:sz w:val="17"/>
              </w:rPr>
              <w:t>register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Energy </w:t>
            </w:r>
            <w:r>
              <w:rPr>
                <w:color w:val="151F34"/>
                <w:spacing w:val="-2"/>
                <w:sz w:val="17"/>
              </w:rPr>
              <w:t>reduction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Medium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Screen travel and </w:t>
            </w:r>
            <w:r>
              <w:rPr>
                <w:color w:val="151F34"/>
                <w:spacing w:val="-2"/>
                <w:sz w:val="17"/>
              </w:rPr>
              <w:t>suppliers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Scope 3 </w:t>
            </w:r>
            <w:r>
              <w:rPr>
                <w:color w:val="151F34"/>
                <w:spacing w:val="-2"/>
                <w:sz w:val="17"/>
              </w:rPr>
              <w:t>expansion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Supplier and Travel Next </w:t>
      </w:r>
      <w:r>
        <w:rPr>
          <w:color w:val="151F34"/>
          <w:spacing w:val="-2"/>
        </w:rPr>
        <w:t>Steps</w:t>
      </w:r>
    </w:p>
    <w:p>
      <w:pPr>
        <w:pStyle w:val="Heading2"/>
        <w:spacing w:before="213"/>
      </w:pPr>
      <w:r>
        <w:rPr>
          <w:color w:val="168749"/>
        </w:rPr>
        <w:t>Scope 3 expansion plan for future </w:t>
      </w:r>
      <w:r>
        <w:rPr>
          <w:color w:val="168749"/>
          <w:spacing w:val="-2"/>
        </w:rPr>
        <w:t>reporting.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45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Cost and Benefit </w:t>
      </w:r>
      <w:r>
        <w:rPr>
          <w:color w:val="151F34"/>
          <w:spacing w:val="-4"/>
        </w:rPr>
        <w:t>View</w:t>
      </w:r>
    </w:p>
    <w:p>
      <w:pPr>
        <w:pStyle w:val="Heading2"/>
        <w:spacing w:before="213"/>
      </w:pPr>
      <w:r>
        <w:rPr>
          <w:color w:val="168749"/>
        </w:rPr>
        <w:t>Indicative management view of savings and </w:t>
      </w:r>
      <w:r>
        <w:rPr>
          <w:color w:val="168749"/>
          <w:spacing w:val="-2"/>
        </w:rPr>
        <w:t>benefits.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46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Implementation </w:t>
      </w:r>
      <w:r>
        <w:rPr>
          <w:color w:val="151F34"/>
          <w:spacing w:val="-2"/>
        </w:rPr>
        <w:t>Tracker</w:t>
      </w:r>
    </w:p>
    <w:p>
      <w:pPr>
        <w:pStyle w:val="Heading2"/>
        <w:spacing w:before="213"/>
      </w:pPr>
      <w:r>
        <w:rPr>
          <w:color w:val="168749"/>
        </w:rPr>
        <w:t>Action owner, status and next milestone </w:t>
      </w:r>
      <w:r>
        <w:rPr>
          <w:color w:val="168749"/>
          <w:spacing w:val="-2"/>
        </w:rPr>
        <w:t>tracker.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4"/>
                <w:sz w:val="17"/>
              </w:rPr>
              <w:t>High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Reconcile invoices to </w:t>
            </w:r>
            <w:r>
              <w:rPr>
                <w:color w:val="151F34"/>
                <w:spacing w:val="-2"/>
                <w:sz w:val="17"/>
              </w:rPr>
              <w:t>meters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Data </w:t>
            </w:r>
            <w:r>
              <w:rPr>
                <w:color w:val="151F34"/>
                <w:spacing w:val="-2"/>
                <w:sz w:val="17"/>
              </w:rPr>
              <w:t>confidence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4"/>
                <w:sz w:val="17"/>
              </w:rPr>
              <w:t>High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Lock factor set for reporting </w:t>
            </w:r>
            <w:r>
              <w:rPr>
                <w:color w:val="151F34"/>
                <w:spacing w:val="-4"/>
                <w:sz w:val="17"/>
              </w:rPr>
              <w:t>year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control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Medium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Create efficiency </w:t>
            </w:r>
            <w:r>
              <w:rPr>
                <w:color w:val="151F34"/>
                <w:spacing w:val="-2"/>
                <w:sz w:val="17"/>
              </w:rPr>
              <w:t>register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Energy </w:t>
            </w:r>
            <w:r>
              <w:rPr>
                <w:color w:val="151F34"/>
                <w:spacing w:val="-2"/>
                <w:sz w:val="17"/>
              </w:rPr>
              <w:t>reduction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Medium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Screen travel and </w:t>
            </w:r>
            <w:r>
              <w:rPr>
                <w:color w:val="151F34"/>
                <w:spacing w:val="-2"/>
                <w:sz w:val="17"/>
              </w:rPr>
              <w:t>suppliers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Scope 3 </w:t>
            </w:r>
            <w:r>
              <w:rPr>
                <w:color w:val="151F34"/>
                <w:spacing w:val="-2"/>
                <w:sz w:val="17"/>
              </w:rPr>
              <w:t>expansion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Appendix A: Methodology </w:t>
      </w:r>
      <w:r>
        <w:rPr>
          <w:color w:val="151F34"/>
          <w:spacing w:val="-2"/>
        </w:rPr>
        <w:t>Notes</w:t>
      </w:r>
    </w:p>
    <w:p>
      <w:pPr>
        <w:pStyle w:val="Heading2"/>
        <w:spacing w:before="213"/>
      </w:pPr>
      <w:r>
        <w:rPr>
          <w:color w:val="168749"/>
        </w:rPr>
        <w:t>Calculation assumptions and report preparation </w:t>
      </w:r>
      <w:r>
        <w:rPr>
          <w:color w:val="168749"/>
          <w:spacing w:val="-2"/>
        </w:rPr>
        <w:t>notes.</w:t>
      </w:r>
    </w:p>
    <w:p>
      <w:pPr>
        <w:pStyle w:val="BodyText"/>
        <w:spacing w:line="302" w:lineRule="auto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454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Owner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Finance / Operations / </w:t>
            </w:r>
            <w:r>
              <w:rPr>
                <w:color w:val="151F34"/>
                <w:spacing w:val="-2"/>
                <w:sz w:val="17"/>
              </w:rPr>
              <w:t>Sustainability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Named accountable </w:t>
            </w:r>
            <w:r>
              <w:rPr>
                <w:color w:val="151F34"/>
                <w:spacing w:val="-2"/>
                <w:sz w:val="17"/>
              </w:rPr>
              <w:t>function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Invoices, meter logs and </w:t>
            </w:r>
            <w:r>
              <w:rPr>
                <w:color w:val="151F34"/>
                <w:spacing w:val="-2"/>
                <w:sz w:val="17"/>
              </w:rPr>
              <w:t>registers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Stored in review </w:t>
            </w:r>
            <w:r>
              <w:rPr>
                <w:color w:val="151F34"/>
                <w:spacing w:val="-2"/>
                <w:sz w:val="17"/>
              </w:rPr>
              <w:t>folder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Control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Monthly review and variance </w:t>
            </w:r>
            <w:r>
              <w:rPr>
                <w:color w:val="151F34"/>
                <w:spacing w:val="-2"/>
                <w:sz w:val="17"/>
              </w:rPr>
              <w:t>check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Prevents </w:t>
            </w:r>
            <w:r>
              <w:rPr>
                <w:color w:val="151F34"/>
                <w:spacing w:val="-2"/>
                <w:sz w:val="17"/>
              </w:rPr>
              <w:t>errors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Management-ready disclosure </w:t>
            </w:r>
            <w:r>
              <w:rPr>
                <w:color w:val="151F34"/>
                <w:spacing w:val="-2"/>
                <w:sz w:val="17"/>
              </w:rPr>
              <w:t>table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Report page </w:t>
            </w:r>
            <w:r>
              <w:rPr>
                <w:color w:val="151F34"/>
                <w:spacing w:val="-5"/>
                <w:sz w:val="17"/>
              </w:rPr>
              <w:t>48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p>
      <w:pPr>
        <w:spacing w:after="0" w:line="271" w:lineRule="auto"/>
        <w:jc w:val="left"/>
        <w:rPr>
          <w:sz w:val="17"/>
        </w:rPr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Appendix B: Glossary and Data Request </w:t>
      </w:r>
      <w:r>
        <w:rPr>
          <w:color w:val="151F34"/>
          <w:spacing w:val="-4"/>
        </w:rPr>
        <w:t>List</w:t>
      </w:r>
    </w:p>
    <w:p>
      <w:pPr>
        <w:pStyle w:val="Heading2"/>
        <w:spacing w:line="268" w:lineRule="auto" w:before="213"/>
        <w:ind w:right="1309"/>
      </w:pPr>
      <w:r>
        <w:rPr>
          <w:color w:val="168749"/>
        </w:rPr>
        <w:t>Definitions</w:t>
      </w:r>
      <w:r>
        <w:rPr>
          <w:color w:val="168749"/>
          <w:spacing w:val="-4"/>
        </w:rPr>
        <w:t> </w:t>
      </w:r>
      <w:r>
        <w:rPr>
          <w:color w:val="168749"/>
        </w:rPr>
        <w:t>and</w:t>
      </w:r>
      <w:r>
        <w:rPr>
          <w:color w:val="168749"/>
          <w:spacing w:val="-4"/>
        </w:rPr>
        <w:t> </w:t>
      </w:r>
      <w:r>
        <w:rPr>
          <w:color w:val="168749"/>
        </w:rPr>
        <w:t>information</w:t>
      </w:r>
      <w:r>
        <w:rPr>
          <w:color w:val="168749"/>
          <w:spacing w:val="-4"/>
        </w:rPr>
        <w:t> </w:t>
      </w:r>
      <w:r>
        <w:rPr>
          <w:color w:val="168749"/>
        </w:rPr>
        <w:t>required</w:t>
      </w:r>
      <w:r>
        <w:rPr>
          <w:color w:val="168749"/>
          <w:spacing w:val="-4"/>
        </w:rPr>
        <w:t> </w:t>
      </w:r>
      <w:r>
        <w:rPr>
          <w:color w:val="168749"/>
        </w:rPr>
        <w:t>to</w:t>
      </w:r>
      <w:r>
        <w:rPr>
          <w:color w:val="168749"/>
          <w:spacing w:val="-4"/>
        </w:rPr>
        <w:t> </w:t>
      </w:r>
      <w:r>
        <w:rPr>
          <w:color w:val="168749"/>
        </w:rPr>
        <w:t>convert</w:t>
      </w:r>
      <w:r>
        <w:rPr>
          <w:color w:val="168749"/>
          <w:spacing w:val="-4"/>
        </w:rPr>
        <w:t> </w:t>
      </w:r>
      <w:r>
        <w:rPr>
          <w:color w:val="168749"/>
        </w:rPr>
        <w:t>the</w:t>
      </w:r>
      <w:r>
        <w:rPr>
          <w:color w:val="168749"/>
          <w:spacing w:val="-4"/>
        </w:rPr>
        <w:t> </w:t>
      </w:r>
      <w:r>
        <w:rPr>
          <w:color w:val="168749"/>
        </w:rPr>
        <w:t>draft</w:t>
      </w:r>
      <w:r>
        <w:rPr>
          <w:color w:val="168749"/>
          <w:spacing w:val="-4"/>
        </w:rPr>
        <w:t> </w:t>
      </w:r>
      <w:r>
        <w:rPr>
          <w:color w:val="168749"/>
        </w:rPr>
        <w:t>into</w:t>
      </w:r>
      <w:r>
        <w:rPr>
          <w:color w:val="168749"/>
          <w:spacing w:val="-4"/>
        </w:rPr>
        <w:t> </w:t>
      </w:r>
      <w:r>
        <w:rPr>
          <w:color w:val="168749"/>
        </w:rPr>
        <w:t>final</w:t>
      </w:r>
      <w:r>
        <w:rPr>
          <w:color w:val="168749"/>
          <w:spacing w:val="-4"/>
        </w:rPr>
        <w:t> </w:t>
      </w:r>
      <w:r>
        <w:rPr>
          <w:color w:val="168749"/>
        </w:rPr>
        <w:t>filing </w:t>
      </w:r>
      <w:r>
        <w:rPr>
          <w:color w:val="168749"/>
          <w:spacing w:val="-2"/>
        </w:rPr>
        <w:t>pack.</w:t>
      </w:r>
    </w:p>
    <w:p>
      <w:pPr>
        <w:pStyle w:val="BodyText"/>
        <w:spacing w:line="302" w:lineRule="auto" w:before="118"/>
        <w:ind w:left="1140" w:right="1309"/>
      </w:pPr>
      <w:r>
        <w:rPr>
          <w:color w:val="151F34"/>
        </w:rPr>
        <w:t>This page provides a structured working block for the final UK carbon report. Replace placeholder </w:t>
      </w:r>
      <w:r>
        <w:rPr>
          <w:color w:val="151F34"/>
        </w:rPr>
        <w:t>fields with approved client data, evidence references and management sign-off notes before formal issue.</w:t>
      </w:r>
    </w:p>
    <w:p>
      <w:pPr>
        <w:pStyle w:val="BodyText"/>
        <w:spacing w:before="209"/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70" w:hRule="atLeast"/>
        </w:trPr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Energy</w:t>
            </w:r>
            <w:r>
              <w:rPr>
                <w:color w:val="697285"/>
                <w:spacing w:val="-12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Value-chain</w:t>
            </w:r>
            <w:r>
              <w:rPr>
                <w:color w:val="697285"/>
                <w:spacing w:val="3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39"/>
              <w:ind w:left="16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ind w:left="16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288"/>
        <w:gridCol w:w="3175"/>
      </w:tblGrid>
      <w:tr>
        <w:trPr>
          <w:trHeight w:val="450" w:hRule="atLeast"/>
        </w:trPr>
        <w:tc>
          <w:tcPr>
            <w:tcW w:w="2381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288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3175" w:type="dxa"/>
            <w:shd w:val="clear" w:color="auto" w:fill="168749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7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pacing w:val="-4"/>
                <w:sz w:val="17"/>
              </w:rPr>
              <w:t>SECR</w:t>
            </w:r>
          </w:p>
        </w:tc>
        <w:tc>
          <w:tcPr>
            <w:tcW w:w="3288" w:type="dxa"/>
          </w:tcPr>
          <w:p>
            <w:pPr>
              <w:pStyle w:val="TableParagraph"/>
              <w:spacing w:line="276" w:lineRule="auto"/>
              <w:ind w:right="47"/>
              <w:rPr>
                <w:sz w:val="17"/>
              </w:rPr>
            </w:pPr>
            <w:r>
              <w:rPr>
                <w:color w:val="151F34"/>
                <w:sz w:val="17"/>
              </w:rPr>
              <w:t>Streamlined</w:t>
            </w:r>
            <w:r>
              <w:rPr>
                <w:color w:val="151F34"/>
                <w:spacing w:val="-12"/>
                <w:sz w:val="17"/>
              </w:rPr>
              <w:t> </w:t>
            </w:r>
            <w:r>
              <w:rPr>
                <w:color w:val="151F34"/>
                <w:sz w:val="17"/>
              </w:rPr>
              <w:t>Energy</w:t>
            </w:r>
            <w:r>
              <w:rPr>
                <w:color w:val="151F34"/>
                <w:spacing w:val="-12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2"/>
                <w:sz w:val="17"/>
              </w:rPr>
              <w:t> </w:t>
            </w:r>
            <w:r>
              <w:rPr>
                <w:color w:val="151F34"/>
                <w:sz w:val="17"/>
              </w:rPr>
              <w:t>Carbon </w:t>
            </w:r>
            <w:r>
              <w:rPr>
                <w:color w:val="151F34"/>
                <w:spacing w:val="-2"/>
                <w:sz w:val="17"/>
              </w:rPr>
              <w:t>Reporting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UK energy and emissions </w:t>
            </w:r>
            <w:r>
              <w:rPr>
                <w:color w:val="151F34"/>
                <w:spacing w:val="-2"/>
                <w:sz w:val="17"/>
              </w:rPr>
              <w:t>disclosure</w:t>
            </w:r>
          </w:p>
        </w:tc>
      </w:tr>
      <w:tr>
        <w:trPr>
          <w:trHeight w:val="454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Scope </w:t>
            </w:r>
            <w:r>
              <w:rPr>
                <w:color w:val="151F34"/>
                <w:spacing w:val="-10"/>
                <w:sz w:val="17"/>
              </w:rPr>
              <w:t>1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Direct </w:t>
            </w:r>
            <w:r>
              <w:rPr>
                <w:color w:val="151F34"/>
                <w:spacing w:val="-2"/>
                <w:sz w:val="17"/>
              </w:rPr>
              <w:t>emissions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Owned or controlled </w:t>
            </w:r>
            <w:r>
              <w:rPr>
                <w:color w:val="151F34"/>
                <w:spacing w:val="-2"/>
                <w:sz w:val="17"/>
              </w:rPr>
              <w:t>sources</w:t>
            </w:r>
          </w:p>
        </w:tc>
      </w:tr>
      <w:tr>
        <w:trPr>
          <w:trHeight w:val="453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Scope </w:t>
            </w:r>
            <w:r>
              <w:rPr>
                <w:color w:val="151F34"/>
                <w:spacing w:val="-10"/>
                <w:sz w:val="17"/>
              </w:rPr>
              <w:t>2</w:t>
            </w:r>
          </w:p>
        </w:tc>
        <w:tc>
          <w:tcPr>
            <w:tcW w:w="32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Purchased energy </w:t>
            </w:r>
            <w:r>
              <w:rPr>
                <w:color w:val="151F34"/>
                <w:spacing w:val="-2"/>
                <w:sz w:val="17"/>
              </w:rPr>
              <w:t>emissions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Electricity and purchased </w:t>
            </w:r>
            <w:r>
              <w:rPr>
                <w:color w:val="151F34"/>
                <w:spacing w:val="-2"/>
                <w:sz w:val="17"/>
              </w:rPr>
              <w:t>energy</w:t>
            </w:r>
          </w:p>
        </w:tc>
      </w:tr>
      <w:tr>
        <w:trPr>
          <w:trHeight w:val="453" w:hRule="atLeast"/>
        </w:trPr>
        <w:tc>
          <w:tcPr>
            <w:tcW w:w="2381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Scope </w:t>
            </w:r>
            <w:r>
              <w:rPr>
                <w:color w:val="151F34"/>
                <w:spacing w:val="-10"/>
                <w:sz w:val="17"/>
              </w:rPr>
              <w:t>3</w:t>
            </w:r>
          </w:p>
        </w:tc>
        <w:tc>
          <w:tcPr>
            <w:tcW w:w="3288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Other indirect </w:t>
            </w:r>
            <w:r>
              <w:rPr>
                <w:color w:val="151F34"/>
                <w:spacing w:val="-2"/>
                <w:sz w:val="17"/>
              </w:rPr>
              <w:t>emissions</w:t>
            </w:r>
          </w:p>
        </w:tc>
        <w:tc>
          <w:tcPr>
            <w:tcW w:w="3175" w:type="dxa"/>
            <w:shd w:val="clear" w:color="auto" w:fill="F4F6F4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51F34"/>
                <w:sz w:val="17"/>
              </w:rPr>
              <w:t>Value-chain </w:t>
            </w:r>
            <w:r>
              <w:rPr>
                <w:color w:val="151F34"/>
                <w:spacing w:val="-2"/>
                <w:sz w:val="17"/>
              </w:rPr>
              <w:t>activity</w:t>
            </w:r>
          </w:p>
        </w:tc>
      </w:tr>
    </w:tbl>
    <w:p>
      <w:pPr>
        <w:pStyle w:val="BodyText"/>
        <w:spacing w:before="115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spacing w:line="271" w:lineRule="auto" w:before="149"/>
        <w:ind w:left="1140" w:right="840" w:firstLine="0"/>
        <w:jc w:val="left"/>
        <w:rPr>
          <w:sz w:val="17"/>
        </w:rPr>
      </w:pPr>
      <w:r>
        <w:rPr>
          <w:color w:val="697285"/>
          <w:sz w:val="17"/>
        </w:rPr>
        <w:t>Maintain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the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same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evidence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trail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from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source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invoice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calculation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workbook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to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PDF.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Insert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final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figures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and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sign-off</w:t>
      </w:r>
      <w:r>
        <w:rPr>
          <w:color w:val="697285"/>
          <w:spacing w:val="-8"/>
          <w:sz w:val="17"/>
        </w:rPr>
        <w:t> </w:t>
      </w:r>
      <w:r>
        <w:rPr>
          <w:color w:val="697285"/>
          <w:sz w:val="17"/>
        </w:rPr>
        <w:t>details before formal issue.</w:t>
      </w:r>
    </w:p>
    <w:sectPr>
      <w:pgSz w:w="11910" w:h="16840"/>
      <w:pgMar w:header="0" w:footer="512" w:top="1020" w:bottom="70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519360">
              <wp:simplePos x="0" y="0"/>
              <wp:positionH relativeFrom="page">
                <wp:posOffset>635299</wp:posOffset>
              </wp:positionH>
              <wp:positionV relativeFrom="page">
                <wp:posOffset>10221576</wp:posOffset>
              </wp:positionV>
              <wp:extent cx="3284220" cy="1460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28422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697285"/>
                              <w:sz w:val="17"/>
                            </w:rPr>
                            <w:t>Strictly Confidential. Powered by CarbonSynq Earth AI Data </w:t>
                          </w:r>
                          <w:r>
                            <w:rPr>
                              <w:color w:val="697285"/>
                              <w:spacing w:val="-2"/>
                              <w:sz w:val="17"/>
                            </w:rPr>
                            <w:t>Engine.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621pt;margin-top:804.848511pt;width:258.6pt;height:11.5pt;mso-position-horizontal-relative:page;mso-position-vertical-relative:page;z-index:-1779712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697285"/>
                        <w:sz w:val="17"/>
                      </w:rPr>
                      <w:t>Strictly Confidential. Powered by CarbonSynq Earth AI Data </w:t>
                    </w:r>
                    <w:r>
                      <w:rPr>
                        <w:color w:val="697285"/>
                        <w:spacing w:val="-2"/>
                        <w:sz w:val="17"/>
                      </w:rPr>
                      <w:t>Engine.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521408">
              <wp:simplePos x="0" y="0"/>
              <wp:positionH relativeFrom="page">
                <wp:posOffset>635299</wp:posOffset>
              </wp:positionH>
              <wp:positionV relativeFrom="page">
                <wp:posOffset>10227324</wp:posOffset>
              </wp:positionV>
              <wp:extent cx="1482725" cy="13906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482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97285"/>
                              <w:sz w:val="16"/>
                            </w:rPr>
                            <w:t>Reporting Period: Invoice </w:t>
                          </w:r>
                          <w:r>
                            <w:rPr>
                              <w:color w:val="697285"/>
                              <w:spacing w:val="-2"/>
                              <w:sz w:val="16"/>
                            </w:rPr>
                            <w:t>Based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05.301147pt;width:116.75pt;height:10.95pt;mso-position-horizontal-relative:page;mso-position-vertical-relative:page;z-index:-17795072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97285"/>
                        <w:sz w:val="16"/>
                      </w:rPr>
                      <w:t>Reporting Period: Invoice </w:t>
                    </w:r>
                    <w:r>
                      <w:rPr>
                        <w:color w:val="697285"/>
                        <w:spacing w:val="-2"/>
                        <w:sz w:val="16"/>
                      </w:rPr>
                      <w:t>Based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521920">
              <wp:simplePos x="0" y="0"/>
              <wp:positionH relativeFrom="page">
                <wp:posOffset>6520840</wp:posOffset>
              </wp:positionH>
              <wp:positionV relativeFrom="page">
                <wp:posOffset>10227324</wp:posOffset>
              </wp:positionV>
              <wp:extent cx="442595" cy="13906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442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97285"/>
                              <w:sz w:val="16"/>
                            </w:rPr>
                            <w:t>Page </w:t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.452026pt;margin-top:805.301147pt;width:34.85pt;height:10.95pt;mso-position-horizontal-relative:page;mso-position-vertical-relative:page;z-index:-17794560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97285"/>
                        <w:sz w:val="16"/>
                      </w:rPr>
                      <w:t>Page </w:t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51987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648335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7560309" cy="6483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648335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647999"/>
                            </a:lnTo>
                            <a:lnTo>
                              <a:pt x="7560000" y="647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16874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51pt;width:595.275600pt;height:51.02362pt;mso-position-horizontal-relative:page;mso-position-vertical-relative:page;z-index:-17796608" id="docshape6" filled="true" fillcolor="#168749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520384">
              <wp:simplePos x="0" y="0"/>
              <wp:positionH relativeFrom="page">
                <wp:posOffset>635299</wp:posOffset>
              </wp:positionH>
              <wp:positionV relativeFrom="page">
                <wp:posOffset>261827</wp:posOffset>
              </wp:positionV>
              <wp:extent cx="2585720" cy="1536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5857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18"/>
                            </w:rPr>
                            <w:t>CarbonSynq Earth Enterprise | UK Demo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18"/>
                            </w:rPr>
                            <w:t>Client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20.616310pt;width:203.6pt;height:12.1pt;mso-position-horizontal-relative:page;mso-position-vertical-relative:page;z-index:-17796096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18"/>
                      </w:rPr>
                      <w:t>CarbonSynq Earth Enterprise | UK Demo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18"/>
                      </w:rPr>
                      <w:t>Client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520896">
              <wp:simplePos x="0" y="0"/>
              <wp:positionH relativeFrom="page">
                <wp:posOffset>5429345</wp:posOffset>
              </wp:positionH>
              <wp:positionV relativeFrom="page">
                <wp:posOffset>267575</wp:posOffset>
              </wp:positionV>
              <wp:extent cx="1496060" cy="1460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49606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FFFFFF"/>
                              <w:sz w:val="17"/>
                            </w:rPr>
                            <w:t>UK Energy and Carbon </w:t>
                          </w:r>
                          <w:r>
                            <w:rPr>
                              <w:color w:val="FFFFFF"/>
                              <w:spacing w:val="-2"/>
                              <w:sz w:val="17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7.507507pt;margin-top:21.068947pt;width:117.8pt;height:11.5pt;mso-position-horizontal-relative:page;mso-position-vertical-relative:page;z-index:-17795584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FFFFFF"/>
                        <w:sz w:val="17"/>
                      </w:rPr>
                      <w:t>UK Energy and Carbon </w:t>
                    </w:r>
                    <w:r>
                      <w:rPr>
                        <w:color w:val="FFFFFF"/>
                        <w:spacing w:val="-2"/>
                        <w:sz w:val="17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868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51F34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64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69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73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78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82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87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91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96" w:hanging="18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7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40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14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140" w:right="1309"/>
    </w:pPr>
    <w:rPr>
      <w:rFonts w:ascii="Arial" w:hAnsi="Arial" w:eastAsia="Arial" w:cs="Arial"/>
      <w:b/>
      <w:bCs/>
      <w:sz w:val="62"/>
      <w:szCs w:val="6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8"/>
      <w:ind w:left="1868" w:hanging="18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13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2026-07-10T13:09:27Z</dcterms:created>
  <dcterms:modified xsi:type="dcterms:W3CDTF">2026-07-10T13:09:27Z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2026-07-10T00:00:00Z</vt:filetime>
  </property>
  <property fmtid="{D5CDD505-2E9C-101B-9397-08002B2CF9AE}" pid="6" name="Producer">
    <vt:lpwstr>ReportLab PDF Library - (opensource)</vt:lpwstr>
  </property>
</Properties>
</file>