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C298E">
      <w:pPr>
        <w:pStyle w:val="29"/>
      </w:pPr>
      <w:r>
        <w:t>AQI Forecasting Project Documentation: Karachi</w:t>
      </w:r>
    </w:p>
    <w:p w14:paraId="22B61D27">
      <w:pPr>
        <w:pStyle w:val="30"/>
      </w:pPr>
      <w:r>
        <w:t>1. Project Overview</w:t>
      </w:r>
    </w:p>
    <w:p w14:paraId="2968F747">
      <w:pPr>
        <w:pStyle w:val="22"/>
      </w:pPr>
      <w:r>
        <w:t xml:space="preserve">This project details the development of a </w:t>
      </w:r>
      <w:r>
        <w:rPr>
          <w:rStyle w:val="37"/>
          <w:b/>
          <w:bCs/>
        </w:rPr>
        <w:t>100% serverless machine learning pipeline</w:t>
      </w:r>
      <w:r>
        <w:t xml:space="preserve"> designed for predicting the Air Quality Index (AQI) in </w:t>
      </w:r>
      <w:r>
        <w:rPr>
          <w:rStyle w:val="37"/>
          <w:b/>
          <w:bCs/>
        </w:rPr>
        <w:t>Karachi, Pakistan</w:t>
      </w:r>
      <w:r>
        <w:t>. The pipeline encompasses automated data collection, feature engineering, machine learning model training, and the deployment of real-time predictions through an interactive web dashboard.</w:t>
      </w:r>
    </w:p>
    <w:p w14:paraId="22F5D5C9">
      <w:pPr>
        <w:pStyle w:val="16"/>
        <w:spacing w:before="0" w:after="60"/>
      </w:pPr>
    </w:p>
    <w:p w14:paraId="74F9C243">
      <w:pPr>
        <w:pStyle w:val="30"/>
      </w:pPr>
      <w:r>
        <w:t>2. Technology Stack</w:t>
      </w:r>
    </w:p>
    <w:p w14:paraId="3C3B990E">
      <w:pPr>
        <w:pStyle w:val="22"/>
      </w:pPr>
      <w:r>
        <w:t>The following technologies and tools were utilized in the development of this project:</w:t>
      </w:r>
    </w:p>
    <w:p w14:paraId="631363AD">
      <w:pPr>
        <w:pStyle w:val="16"/>
        <w:spacing w:before="0" w:after="60"/>
      </w:pP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5019"/>
        <w:gridCol w:w="4247"/>
      </w:tblGrid>
      <w:tr w14:paraId="2612F234">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Borders>
              <w:left w:val="nil"/>
            </w:tcBorders>
            <w:tcMar>
              <w:top w:w="100" w:type="dxa"/>
              <w:left w:w="120" w:type="dxa"/>
              <w:bottom w:w="100" w:type="dxa"/>
              <w:right w:w="120" w:type="dxa"/>
            </w:tcMar>
            <w:vAlign w:val="center"/>
          </w:tcPr>
          <w:p w14:paraId="37487212">
            <w:pPr>
              <w:pStyle w:val="27"/>
            </w:pPr>
            <w:r>
              <w:t>Category</w:t>
            </w:r>
          </w:p>
        </w:tc>
        <w:tc>
          <w:tcPr>
            <w:tcBorders>
              <w:right w:val="nil"/>
            </w:tcBorders>
            <w:tcMar>
              <w:top w:w="100" w:type="dxa"/>
              <w:left w:w="120" w:type="dxa"/>
              <w:bottom w:w="100" w:type="dxa"/>
              <w:right w:w="120" w:type="dxa"/>
            </w:tcMar>
            <w:vAlign w:val="center"/>
          </w:tcPr>
          <w:p w14:paraId="4D21256D">
            <w:pPr>
              <w:pStyle w:val="27"/>
            </w:pPr>
            <w:r>
              <w:t>Technologies/Tools</w:t>
            </w:r>
          </w:p>
        </w:tc>
      </w:tr>
      <w:tr w14:paraId="2E02E61A">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7931212F">
            <w:pPr>
              <w:pStyle w:val="28"/>
            </w:pPr>
            <w:r>
              <w:rPr>
                <w:rStyle w:val="37"/>
                <w:b/>
                <w:bCs/>
              </w:rPr>
              <w:t>Programming Language</w:t>
            </w:r>
          </w:p>
        </w:tc>
        <w:tc>
          <w:tcPr>
            <w:tcBorders>
              <w:right w:val="nil"/>
            </w:tcBorders>
            <w:tcMar>
              <w:top w:w="80" w:type="dxa"/>
              <w:left w:w="120" w:type="dxa"/>
              <w:bottom w:w="80" w:type="dxa"/>
              <w:right w:w="120" w:type="dxa"/>
            </w:tcMar>
            <w:vAlign w:val="center"/>
          </w:tcPr>
          <w:p w14:paraId="6C1179C9">
            <w:pPr>
              <w:pStyle w:val="28"/>
            </w:pPr>
            <w:r>
              <w:t>Python</w:t>
            </w:r>
          </w:p>
        </w:tc>
      </w:tr>
      <w:tr w14:paraId="5C5789D3">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3F62B9AE">
            <w:pPr>
              <w:pStyle w:val="28"/>
            </w:pPr>
            <w:r>
              <w:rPr>
                <w:rStyle w:val="37"/>
                <w:b/>
                <w:bCs/>
              </w:rPr>
              <w:t>Machine Learning Libraries</w:t>
            </w:r>
          </w:p>
        </w:tc>
        <w:tc>
          <w:tcPr>
            <w:tcBorders>
              <w:right w:val="nil"/>
            </w:tcBorders>
            <w:tcMar>
              <w:top w:w="80" w:type="dxa"/>
              <w:left w:w="120" w:type="dxa"/>
              <w:bottom w:w="80" w:type="dxa"/>
              <w:right w:w="120" w:type="dxa"/>
            </w:tcMar>
            <w:vAlign w:val="center"/>
          </w:tcPr>
          <w:p w14:paraId="7FD21D22">
            <w:pPr>
              <w:pStyle w:val="28"/>
            </w:pPr>
            <w:r>
              <w:t>Scikit-learn, TensorFlow</w:t>
            </w:r>
          </w:p>
        </w:tc>
      </w:tr>
      <w:tr w14:paraId="26B375F8">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6E4C5709">
            <w:pPr>
              <w:pStyle w:val="28"/>
            </w:pPr>
            <w:r>
              <w:rPr>
                <w:rStyle w:val="37"/>
                <w:b/>
                <w:bCs/>
              </w:rPr>
              <w:t>Data Sources</w:t>
            </w:r>
          </w:p>
        </w:tc>
        <w:tc>
          <w:tcPr>
            <w:tcBorders>
              <w:right w:val="nil"/>
            </w:tcBorders>
            <w:tcMar>
              <w:top w:w="80" w:type="dxa"/>
              <w:left w:w="120" w:type="dxa"/>
              <w:bottom w:w="80" w:type="dxa"/>
              <w:right w:w="120" w:type="dxa"/>
            </w:tcMar>
            <w:vAlign w:val="center"/>
          </w:tcPr>
          <w:p w14:paraId="2BD8443A">
            <w:pPr>
              <w:pStyle w:val="28"/>
            </w:pPr>
            <w:r>
              <w:t>Open-Meteo API</w:t>
            </w:r>
          </w:p>
        </w:tc>
      </w:tr>
      <w:tr w14:paraId="6860A8D5">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1E98576F">
            <w:pPr>
              <w:pStyle w:val="28"/>
            </w:pPr>
            <w:r>
              <w:rPr>
                <w:rStyle w:val="37"/>
                <w:b/>
                <w:bCs/>
              </w:rPr>
              <w:t>Web Dashboard</w:t>
            </w:r>
          </w:p>
        </w:tc>
        <w:tc>
          <w:tcPr>
            <w:tcBorders>
              <w:right w:val="nil"/>
            </w:tcBorders>
            <w:tcMar>
              <w:top w:w="80" w:type="dxa"/>
              <w:left w:w="120" w:type="dxa"/>
              <w:bottom w:w="80" w:type="dxa"/>
              <w:right w:w="120" w:type="dxa"/>
            </w:tcMar>
            <w:vAlign w:val="center"/>
          </w:tcPr>
          <w:p w14:paraId="47F1C78F">
            <w:pPr>
              <w:pStyle w:val="28"/>
            </w:pPr>
            <w:r>
              <w:t>Streamlit</w:t>
            </w:r>
          </w:p>
        </w:tc>
      </w:tr>
      <w:tr w14:paraId="17338C9A">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12A8630A">
            <w:pPr>
              <w:pStyle w:val="28"/>
            </w:pPr>
            <w:r>
              <w:rPr>
                <w:rStyle w:val="37"/>
                <w:b/>
                <w:bCs/>
              </w:rPr>
              <w:t>Orchestration (Planned)</w:t>
            </w:r>
          </w:p>
        </w:tc>
        <w:tc>
          <w:tcPr>
            <w:tcBorders>
              <w:right w:val="nil"/>
            </w:tcBorders>
            <w:tcMar>
              <w:top w:w="80" w:type="dxa"/>
              <w:left w:w="120" w:type="dxa"/>
              <w:bottom w:w="80" w:type="dxa"/>
              <w:right w:w="120" w:type="dxa"/>
            </w:tcMar>
            <w:vAlign w:val="center"/>
          </w:tcPr>
          <w:p w14:paraId="513AD93E">
            <w:pPr>
              <w:pStyle w:val="28"/>
            </w:pPr>
            <w:r>
              <w:t>GitHub Actions</w:t>
            </w:r>
          </w:p>
        </w:tc>
      </w:tr>
      <w:tr w14:paraId="41921042">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14:paraId="2C004EBC">
            <w:pPr>
              <w:pStyle w:val="28"/>
            </w:pPr>
            <w:r>
              <w:rPr>
                <w:rStyle w:val="37"/>
                <w:b/>
                <w:bCs/>
              </w:rPr>
              <w:t>Explainability (Future Work)</w:t>
            </w:r>
          </w:p>
        </w:tc>
        <w:tc>
          <w:tcPr>
            <w:tcBorders>
              <w:bottom w:val="single" w:color="E1E4E8" w:sz="4" w:space="0"/>
              <w:right w:val="nil"/>
            </w:tcBorders>
            <w:tcMar>
              <w:top w:w="80" w:type="dxa"/>
              <w:left w:w="120" w:type="dxa"/>
              <w:bottom w:w="80" w:type="dxa"/>
              <w:right w:w="120" w:type="dxa"/>
            </w:tcMar>
            <w:vAlign w:val="center"/>
          </w:tcPr>
          <w:p w14:paraId="210FCDEB">
            <w:pPr>
              <w:pStyle w:val="28"/>
            </w:pPr>
            <w:r>
              <w:t>SHAP, LIME</w:t>
            </w:r>
          </w:p>
        </w:tc>
      </w:tr>
    </w:tbl>
    <w:p w14:paraId="19DC83D6">
      <w:pPr>
        <w:pStyle w:val="30"/>
      </w:pPr>
      <w:r>
        <w:t>3. Data Collection and Backfill</w:t>
      </w:r>
    </w:p>
    <w:p w14:paraId="3EEE2C41">
      <w:pPr>
        <w:pStyle w:val="22"/>
      </w:pPr>
      <w:r>
        <w:t xml:space="preserve">Historical weather and air quality data for Karachi, Pakistan, spanning </w:t>
      </w:r>
      <w:r>
        <w:rPr>
          <w:rStyle w:val="37"/>
          <w:b/>
          <w:bCs/>
        </w:rPr>
        <w:t>five months</w:t>
      </w:r>
      <w:r>
        <w:t xml:space="preserve"> (September 2025 to February 2026), were collected. The geographical coordinates used for data retrieval were Latitude 24.86 and Longitude 67.00.</w:t>
      </w:r>
    </w:p>
    <w:p w14:paraId="4B3F9746">
      <w:pPr>
        <w:pStyle w:val="16"/>
        <w:spacing w:before="0" w:after="60"/>
      </w:pPr>
    </w:p>
    <w:p w14:paraId="060A5D46">
      <w:pPr>
        <w:pStyle w:val="31"/>
      </w:pPr>
      <w:r>
        <w:t>3.1 Data Parameters</w:t>
      </w:r>
    </w:p>
    <w:p w14:paraId="1B679448">
      <w:pPr>
        <w:pStyle w:val="22"/>
      </w:pPr>
      <w:r>
        <w:t>The collected data included various meteorological and pollutant parameters:</w:t>
      </w:r>
    </w:p>
    <w:p w14:paraId="61C45F15">
      <w:pPr>
        <w:pStyle w:val="25"/>
        <w:numPr>
          <w:ilvl w:val="0"/>
          <w:numId w:val="1"/>
        </w:numPr>
      </w:pPr>
      <w:r>
        <w:rPr>
          <w:rStyle w:val="37"/>
          <w:b/>
          <w:bCs/>
        </w:rPr>
        <w:t>Pollutants</w:t>
      </w:r>
      <w:r>
        <w:t>: PM2.5, PM10, Carbon Monoxide (CO), Nitrogen Dioxide (NO2), Sulphur Dioxide (SO2), Ozone (O3).</w:t>
      </w:r>
    </w:p>
    <w:p w14:paraId="409E4694">
      <w:pPr>
        <w:pStyle w:val="25"/>
        <w:numPr>
          <w:ilvl w:val="0"/>
          <w:numId w:val="1"/>
        </w:numPr>
      </w:pPr>
      <w:r>
        <w:rPr>
          <w:rStyle w:val="37"/>
          <w:b/>
          <w:bCs/>
        </w:rPr>
        <w:t>Weather</w:t>
      </w:r>
      <w:r>
        <w:t>: Temperature at 2m, Relative Humidity at 2m, Dew Point at 2m, Apparent Temperature, Precipitation, Rain, Weather Code, Pressure at Mean Sea Level (MSL), Surface Pressure, Cloud Cover, Wind Speed at 10m, Wind Direction at 10m, Wind Gusts at 10m.</w:t>
      </w:r>
    </w:p>
    <w:p w14:paraId="5F0FF97E">
      <w:pPr>
        <w:pStyle w:val="16"/>
        <w:spacing w:before="0" w:after="60"/>
      </w:pPr>
    </w:p>
    <w:p w14:paraId="39D5C199">
      <w:pPr>
        <w:pStyle w:val="31"/>
      </w:pPr>
      <w:r>
        <w:t>3.2 Data Source</w:t>
      </w:r>
    </w:p>
    <w:p w14:paraId="07EE06AE">
      <w:pPr>
        <w:pStyle w:val="22"/>
      </w:pPr>
      <w:r>
        <w:t>The primary data source for both historical weather and air quality information was the [Open-Meteo Historical Archive API][1]. This API was selected due to its comprehensive historical data availability and free-tier access, which was more suitable than other explored options like OpenWeatherMap for the required historical depth.</w:t>
      </w:r>
    </w:p>
    <w:p w14:paraId="48284F78">
      <w:pPr>
        <w:pStyle w:val="16"/>
        <w:spacing w:before="0" w:after="60"/>
      </w:pPr>
    </w:p>
    <w:p w14:paraId="45467B5F">
      <w:pPr>
        <w:pStyle w:val="30"/>
      </w:pPr>
      <w:r>
        <w:t>4. Feature Engineering</w:t>
      </w:r>
    </w:p>
    <w:p w14:paraId="5F07673F">
      <w:pPr>
        <w:pStyle w:val="22"/>
      </w:pPr>
      <w:r>
        <w:t>To enhance the predictive capability of the models, several features were engineered from the raw data:</w:t>
      </w:r>
    </w:p>
    <w:p w14:paraId="7B6C13DF">
      <w:pPr>
        <w:pStyle w:val="25"/>
        <w:numPr>
          <w:ilvl w:val="0"/>
          <w:numId w:val="1"/>
        </w:numPr>
      </w:pPr>
      <w:r>
        <w:rPr>
          <w:rStyle w:val="37"/>
          <w:b/>
          <w:bCs/>
        </w:rPr>
        <w:t>Time-based Features</w:t>
      </w:r>
      <w:r>
        <w:t xml:space="preserve">: Extraction of </w:t>
      </w:r>
      <w:r>
        <w:rPr>
          <w:u w:val="single"/>
        </w:rPr>
        <w:t>hour</w:t>
      </w:r>
      <w:r>
        <w:t xml:space="preserve">, </w:t>
      </w:r>
      <w:r>
        <w:rPr>
          <w:u w:val="single"/>
        </w:rPr>
        <w:t>day</w:t>
      </w:r>
      <w:r>
        <w:t xml:space="preserve">, </w:t>
      </w:r>
      <w:r>
        <w:rPr>
          <w:u w:val="single"/>
        </w:rPr>
        <w:t>month</w:t>
      </w:r>
      <w:r>
        <w:t xml:space="preserve">, and </w:t>
      </w:r>
      <w:r>
        <w:rPr>
          <w:u w:val="single"/>
        </w:rPr>
        <w:t>day_of_week</w:t>
      </w:r>
      <w:r>
        <w:t xml:space="preserve"> from the timestamp to capture temporal patterns.</w:t>
      </w:r>
    </w:p>
    <w:p w14:paraId="10E069D4">
      <w:pPr>
        <w:pStyle w:val="25"/>
        <w:numPr>
          <w:ilvl w:val="0"/>
          <w:numId w:val="1"/>
        </w:numPr>
      </w:pPr>
      <w:r>
        <w:rPr>
          <w:rStyle w:val="37"/>
          <w:b/>
          <w:bCs/>
        </w:rPr>
        <w:t>Lagged Features</w:t>
      </w:r>
      <w:r>
        <w:t>: Inclusion of the previous hour's PM2.5 level (</w:t>
      </w:r>
      <w:r>
        <w:rPr>
          <w:u w:val="single"/>
        </w:rPr>
        <w:t>pm2_5_lag1</w:t>
      </w:r>
      <w:r>
        <w:t>) to account for temporal dependencies.</w:t>
      </w:r>
    </w:p>
    <w:p w14:paraId="5D9529E9">
      <w:pPr>
        <w:pStyle w:val="25"/>
        <w:numPr>
          <w:ilvl w:val="0"/>
          <w:numId w:val="1"/>
        </w:numPr>
      </w:pPr>
      <w:r>
        <w:rPr>
          <w:rStyle w:val="37"/>
          <w:b/>
          <w:bCs/>
        </w:rPr>
        <w:t>Derived Features</w:t>
      </w:r>
      <w:r>
        <w:t>: Calculation of the rate of change in PM2.5 (</w:t>
      </w:r>
      <w:r>
        <w:rPr>
          <w:u w:val="single"/>
        </w:rPr>
        <w:t>pm2_5_diff</w:t>
      </w:r>
      <w:r>
        <w:t>) to represent the dynamic behavior of air quality.</w:t>
      </w:r>
    </w:p>
    <w:p w14:paraId="624530C6">
      <w:pPr>
        <w:pStyle w:val="16"/>
        <w:spacing w:before="0" w:after="60"/>
      </w:pPr>
    </w:p>
    <w:p w14:paraId="78DF7229">
      <w:pPr>
        <w:pStyle w:val="30"/>
      </w:pPr>
      <w:r>
        <w:t>5. Model Training and Selection</w:t>
      </w:r>
    </w:p>
    <w:p w14:paraId="3768AC38">
      <w:pPr>
        <w:pStyle w:val="22"/>
      </w:pPr>
      <w:r>
        <w:t>Three distinct machine learning models were trained and evaluated: Random Forest, Ridge Regression, and a TensorFlow-based Multi-Layer Perceptron (MLP). The models were assessed using standard regression metrics: Root Mean Squared Error (RMSE), Mean Absolute Error (MAE), and R-squared (R²).</w:t>
      </w:r>
    </w:p>
    <w:p w14:paraId="04134595">
      <w:pPr>
        <w:pStyle w:val="16"/>
        <w:spacing w:before="0" w:after="60"/>
      </w:pPr>
    </w:p>
    <w:p w14:paraId="1180E65B">
      <w:pPr>
        <w:pStyle w:val="31"/>
      </w:pPr>
      <w:r>
        <w:t>5.1 Model Performance</w:t>
      </w:r>
    </w:p>
    <w:p w14:paraId="72D953AD">
      <w:pPr>
        <w:pStyle w:val="22"/>
      </w:pPr>
      <w:r>
        <w:t>The evaluation results are summarized in the table below:</w:t>
      </w:r>
    </w:p>
    <w:p w14:paraId="40E0C78C">
      <w:pPr>
        <w:pStyle w:val="16"/>
        <w:spacing w:before="0" w:after="60"/>
      </w:pPr>
    </w:p>
    <w:tbl>
      <w:tblPr>
        <w:tblStyle w:val="9"/>
        <w:tblW w:w="5000" w:type="pct"/>
        <w:tblInd w:w="0" w:type="dxa"/>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Layout w:type="autofit"/>
        <w:tblCellMar>
          <w:top w:w="0" w:type="dxa"/>
          <w:left w:w="10" w:type="dxa"/>
          <w:bottom w:w="0" w:type="dxa"/>
          <w:right w:w="10" w:type="dxa"/>
        </w:tblCellMar>
      </w:tblPr>
      <w:tblGrid>
        <w:gridCol w:w="4222"/>
        <w:gridCol w:w="1900"/>
        <w:gridCol w:w="1665"/>
        <w:gridCol w:w="1479"/>
      </w:tblGrid>
      <w:tr w14:paraId="4EA3580E">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720" w:hRule="atLeast"/>
          <w:tblHeader/>
        </w:trPr>
        <w:tc>
          <w:tcPr>
            <w:tcBorders>
              <w:left w:val="nil"/>
            </w:tcBorders>
            <w:tcMar>
              <w:top w:w="100" w:type="dxa"/>
              <w:left w:w="120" w:type="dxa"/>
              <w:bottom w:w="100" w:type="dxa"/>
              <w:right w:w="120" w:type="dxa"/>
            </w:tcMar>
            <w:vAlign w:val="center"/>
          </w:tcPr>
          <w:p w14:paraId="4A869CD6">
            <w:pPr>
              <w:pStyle w:val="27"/>
            </w:pPr>
            <w:r>
              <w:t>Model</w:t>
            </w:r>
          </w:p>
        </w:tc>
        <w:tc>
          <w:tcPr>
            <w:tcMar>
              <w:top w:w="100" w:type="dxa"/>
              <w:left w:w="120" w:type="dxa"/>
              <w:bottom w:w="100" w:type="dxa"/>
              <w:right w:w="120" w:type="dxa"/>
            </w:tcMar>
            <w:vAlign w:val="center"/>
          </w:tcPr>
          <w:p w14:paraId="5E89B087">
            <w:pPr>
              <w:pStyle w:val="27"/>
            </w:pPr>
            <w:r>
              <w:t>RMSE</w:t>
            </w:r>
          </w:p>
        </w:tc>
        <w:tc>
          <w:tcPr>
            <w:tcMar>
              <w:top w:w="100" w:type="dxa"/>
              <w:left w:w="120" w:type="dxa"/>
              <w:bottom w:w="100" w:type="dxa"/>
              <w:right w:w="120" w:type="dxa"/>
            </w:tcMar>
            <w:vAlign w:val="center"/>
          </w:tcPr>
          <w:p w14:paraId="7CAE1B12">
            <w:pPr>
              <w:pStyle w:val="27"/>
            </w:pPr>
            <w:r>
              <w:t>MAE</w:t>
            </w:r>
          </w:p>
        </w:tc>
        <w:tc>
          <w:tcPr>
            <w:tcBorders>
              <w:right w:val="nil"/>
            </w:tcBorders>
            <w:tcMar>
              <w:top w:w="100" w:type="dxa"/>
              <w:left w:w="120" w:type="dxa"/>
              <w:bottom w:w="100" w:type="dxa"/>
              <w:right w:w="120" w:type="dxa"/>
            </w:tcMar>
            <w:vAlign w:val="center"/>
          </w:tcPr>
          <w:p w14:paraId="58957FF1">
            <w:pPr>
              <w:pStyle w:val="27"/>
            </w:pPr>
            <w:r>
              <w:t>R²</w:t>
            </w:r>
          </w:p>
        </w:tc>
      </w:tr>
      <w:tr w14:paraId="0FF940C3">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1F6B996A">
            <w:pPr>
              <w:pStyle w:val="28"/>
            </w:pPr>
            <w:r>
              <w:rPr>
                <w:rStyle w:val="37"/>
                <w:b/>
                <w:bCs/>
              </w:rPr>
              <w:t>Random Forest</w:t>
            </w:r>
          </w:p>
        </w:tc>
        <w:tc>
          <w:tcPr>
            <w:tcMar>
              <w:top w:w="80" w:type="dxa"/>
              <w:left w:w="120" w:type="dxa"/>
              <w:bottom w:w="80" w:type="dxa"/>
              <w:right w:w="120" w:type="dxa"/>
            </w:tcMar>
            <w:vAlign w:val="center"/>
          </w:tcPr>
          <w:p w14:paraId="1A84C047">
            <w:pPr>
              <w:pStyle w:val="28"/>
            </w:pPr>
            <w:r>
              <w:rPr>
                <w:rStyle w:val="37"/>
                <w:b/>
                <w:bCs/>
              </w:rPr>
              <w:t>7.33</w:t>
            </w:r>
          </w:p>
        </w:tc>
        <w:tc>
          <w:tcPr>
            <w:tcMar>
              <w:top w:w="80" w:type="dxa"/>
              <w:left w:w="120" w:type="dxa"/>
              <w:bottom w:w="80" w:type="dxa"/>
              <w:right w:w="120" w:type="dxa"/>
            </w:tcMar>
            <w:vAlign w:val="center"/>
          </w:tcPr>
          <w:p w14:paraId="6D427765">
            <w:pPr>
              <w:pStyle w:val="28"/>
            </w:pPr>
            <w:r>
              <w:rPr>
                <w:rStyle w:val="37"/>
                <w:b/>
                <w:bCs/>
              </w:rPr>
              <w:t>5.33</w:t>
            </w:r>
          </w:p>
        </w:tc>
        <w:tc>
          <w:tcPr>
            <w:tcBorders>
              <w:right w:val="nil"/>
            </w:tcBorders>
            <w:tcMar>
              <w:top w:w="80" w:type="dxa"/>
              <w:left w:w="120" w:type="dxa"/>
              <w:bottom w:w="80" w:type="dxa"/>
              <w:right w:w="120" w:type="dxa"/>
            </w:tcMar>
            <w:vAlign w:val="center"/>
          </w:tcPr>
          <w:p w14:paraId="797D2EA8">
            <w:pPr>
              <w:pStyle w:val="28"/>
            </w:pPr>
            <w:r>
              <w:rPr>
                <w:rStyle w:val="37"/>
                <w:b/>
                <w:bCs/>
              </w:rPr>
              <w:t>0.73</w:t>
            </w:r>
          </w:p>
        </w:tc>
      </w:tr>
      <w:tr w14:paraId="2566CF96">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tcBorders>
            <w:tcMar>
              <w:top w:w="80" w:type="dxa"/>
              <w:left w:w="120" w:type="dxa"/>
              <w:bottom w:w="80" w:type="dxa"/>
              <w:right w:w="120" w:type="dxa"/>
            </w:tcMar>
            <w:vAlign w:val="center"/>
          </w:tcPr>
          <w:p w14:paraId="73621DDB">
            <w:pPr>
              <w:pStyle w:val="28"/>
            </w:pPr>
            <w:r>
              <w:t>Ridge Regression</w:t>
            </w:r>
          </w:p>
        </w:tc>
        <w:tc>
          <w:tcPr>
            <w:tcMar>
              <w:top w:w="80" w:type="dxa"/>
              <w:left w:w="120" w:type="dxa"/>
              <w:bottom w:w="80" w:type="dxa"/>
              <w:right w:w="120" w:type="dxa"/>
            </w:tcMar>
            <w:vAlign w:val="center"/>
          </w:tcPr>
          <w:p w14:paraId="4BEDDD55">
            <w:pPr>
              <w:pStyle w:val="28"/>
            </w:pPr>
            <w:r>
              <w:t>11.24</w:t>
            </w:r>
          </w:p>
        </w:tc>
        <w:tc>
          <w:tcPr>
            <w:tcMar>
              <w:top w:w="80" w:type="dxa"/>
              <w:left w:w="120" w:type="dxa"/>
              <w:bottom w:w="80" w:type="dxa"/>
              <w:right w:w="120" w:type="dxa"/>
            </w:tcMar>
            <w:vAlign w:val="center"/>
          </w:tcPr>
          <w:p w14:paraId="79F0DFED">
            <w:pPr>
              <w:pStyle w:val="28"/>
            </w:pPr>
            <w:r>
              <w:t>8.60</w:t>
            </w:r>
          </w:p>
        </w:tc>
        <w:tc>
          <w:tcPr>
            <w:tcBorders>
              <w:right w:val="nil"/>
            </w:tcBorders>
            <w:tcMar>
              <w:top w:w="80" w:type="dxa"/>
              <w:left w:w="120" w:type="dxa"/>
              <w:bottom w:w="80" w:type="dxa"/>
              <w:right w:w="120" w:type="dxa"/>
            </w:tcMar>
            <w:vAlign w:val="center"/>
          </w:tcPr>
          <w:p w14:paraId="7F40D97B">
            <w:pPr>
              <w:pStyle w:val="28"/>
            </w:pPr>
            <w:r>
              <w:t>0.37</w:t>
            </w:r>
          </w:p>
        </w:tc>
      </w:tr>
      <w:tr w14:paraId="39E6C917">
        <w:tblPrEx>
          <w:tblBorders>
            <w:top w:val="single" w:color="E1E4E8" w:sz="4" w:space="0"/>
            <w:left w:val="none" w:color="auto" w:sz="0" w:space="0"/>
            <w:bottom w:val="single" w:color="E1E4E8" w:sz="4" w:space="0"/>
            <w:right w:val="none" w:color="auto" w:sz="0" w:space="0"/>
            <w:insideH w:val="single" w:color="E1E4E8" w:sz="2" w:space="0"/>
            <w:insideV w:val="single" w:color="F6F8FA" w:sz="2" w:space="0"/>
          </w:tblBorders>
          <w:tblCellMar>
            <w:top w:w="0" w:type="dxa"/>
            <w:left w:w="10" w:type="dxa"/>
            <w:bottom w:w="0" w:type="dxa"/>
            <w:right w:w="10" w:type="dxa"/>
          </w:tblCellMar>
        </w:tblPrEx>
        <w:trPr>
          <w:cantSplit/>
          <w:trHeight w:val="576" w:hRule="atLeast"/>
        </w:trPr>
        <w:tc>
          <w:tcPr>
            <w:tcBorders>
              <w:left w:val="nil"/>
              <w:bottom w:val="single" w:color="E1E4E8" w:sz="4" w:space="0"/>
            </w:tcBorders>
            <w:tcMar>
              <w:top w:w="80" w:type="dxa"/>
              <w:left w:w="120" w:type="dxa"/>
              <w:bottom w:w="80" w:type="dxa"/>
              <w:right w:w="120" w:type="dxa"/>
            </w:tcMar>
            <w:vAlign w:val="center"/>
          </w:tcPr>
          <w:p w14:paraId="3644BA5E">
            <w:pPr>
              <w:pStyle w:val="28"/>
            </w:pPr>
            <w:r>
              <w:t>TensorFlow (MLP)</w:t>
            </w:r>
          </w:p>
        </w:tc>
        <w:tc>
          <w:tcPr>
            <w:tcBorders>
              <w:bottom w:val="single" w:color="E1E4E8" w:sz="4" w:space="0"/>
            </w:tcBorders>
            <w:tcMar>
              <w:top w:w="80" w:type="dxa"/>
              <w:left w:w="120" w:type="dxa"/>
              <w:bottom w:w="80" w:type="dxa"/>
              <w:right w:w="120" w:type="dxa"/>
            </w:tcMar>
            <w:vAlign w:val="center"/>
          </w:tcPr>
          <w:p w14:paraId="6D1AF4B3">
            <w:pPr>
              <w:pStyle w:val="28"/>
            </w:pPr>
            <w:r>
              <w:t>9.94</w:t>
            </w:r>
          </w:p>
        </w:tc>
        <w:tc>
          <w:tcPr>
            <w:tcBorders>
              <w:bottom w:val="single" w:color="E1E4E8" w:sz="4" w:space="0"/>
            </w:tcBorders>
            <w:tcMar>
              <w:top w:w="80" w:type="dxa"/>
              <w:left w:w="120" w:type="dxa"/>
              <w:bottom w:w="80" w:type="dxa"/>
              <w:right w:w="120" w:type="dxa"/>
            </w:tcMar>
            <w:vAlign w:val="center"/>
          </w:tcPr>
          <w:p w14:paraId="6B5DBE5D">
            <w:pPr>
              <w:pStyle w:val="28"/>
            </w:pPr>
            <w:r>
              <w:t>7.56</w:t>
            </w:r>
          </w:p>
        </w:tc>
        <w:tc>
          <w:tcPr>
            <w:tcBorders>
              <w:bottom w:val="single" w:color="E1E4E8" w:sz="4" w:space="0"/>
              <w:right w:val="nil"/>
            </w:tcBorders>
            <w:tcMar>
              <w:top w:w="80" w:type="dxa"/>
              <w:left w:w="120" w:type="dxa"/>
              <w:bottom w:w="80" w:type="dxa"/>
              <w:right w:w="120" w:type="dxa"/>
            </w:tcMar>
            <w:vAlign w:val="center"/>
          </w:tcPr>
          <w:p w14:paraId="265A06D8">
            <w:pPr>
              <w:pStyle w:val="28"/>
            </w:pPr>
            <w:r>
              <w:t>0.50</w:t>
            </w:r>
          </w:p>
        </w:tc>
      </w:tr>
    </w:tbl>
    <w:p w14:paraId="2E822073">
      <w:pPr>
        <w:pStyle w:val="22"/>
      </w:pPr>
      <w:r>
        <w:t xml:space="preserve">The </w:t>
      </w:r>
      <w:r>
        <w:rPr>
          <w:rStyle w:val="37"/>
          <w:b/>
          <w:bCs/>
        </w:rPr>
        <w:t>Random Forest</w:t>
      </w:r>
      <w:r>
        <w:t xml:space="preserve"> model demonstrated superior performance with an R² value of </w:t>
      </w:r>
      <w:r>
        <w:rPr>
          <w:rStyle w:val="37"/>
          <w:b/>
          <w:bCs/>
        </w:rPr>
        <w:t>0.73</w:t>
      </w:r>
      <w:r>
        <w:t>, indicating that it explains 73% of the variance in the target PM2.5 levels. Consequently, the Random Forest model was selected as the best performing model for generating future predictions.</w:t>
      </w:r>
    </w:p>
    <w:p w14:paraId="62AC3889">
      <w:pPr>
        <w:pStyle w:val="16"/>
        <w:spacing w:before="0" w:after="60"/>
      </w:pPr>
    </w:p>
    <w:p w14:paraId="75B7EC91">
      <w:pPr>
        <w:pStyle w:val="30"/>
      </w:pPr>
      <w:r>
        <w:t>6. Results and Predictions</w:t>
      </w:r>
    </w:p>
    <w:p w14:paraId="3FE64242">
      <w:pPr>
        <w:pStyle w:val="22"/>
      </w:pPr>
      <w:r>
        <w:t>The selected Random Forest model was utilized to forecast PM2.5 levels for the next three days in Karachi.</w:t>
      </w:r>
    </w:p>
    <w:p w14:paraId="75504C2A">
      <w:pPr>
        <w:pStyle w:val="25"/>
        <w:numPr>
          <w:ilvl w:val="0"/>
          <w:numId w:val="1"/>
        </w:numPr>
      </w:pPr>
      <w:r>
        <w:rPr>
          <w:rStyle w:val="37"/>
          <w:b/>
          <w:bCs/>
        </w:rPr>
        <w:t>Current PM2.5</w:t>
      </w:r>
      <w:r>
        <w:t>: Approximately 42.0 µg/m³.</w:t>
      </w:r>
    </w:p>
    <w:p w14:paraId="7B10DAB2">
      <w:pPr>
        <w:pStyle w:val="25"/>
        <w:numPr>
          <w:ilvl w:val="0"/>
          <w:numId w:val="1"/>
        </w:numPr>
      </w:pPr>
      <w:r>
        <w:rPr>
          <w:rStyle w:val="37"/>
          <w:b/>
          <w:bCs/>
        </w:rPr>
        <w:t>Predicted PM2.5 (24 hours later)</w:t>
      </w:r>
      <w:r>
        <w:t>: Approximately 38.5 µg/m³.</w:t>
      </w:r>
    </w:p>
    <w:p w14:paraId="54FB433D">
      <w:pPr>
        <w:pStyle w:val="16"/>
        <w:spacing w:before="0" w:after="60"/>
      </w:pPr>
    </w:p>
    <w:p w14:paraId="55A94CD8">
      <w:pPr>
        <w:pStyle w:val="31"/>
      </w:pPr>
      <w:r>
        <w:t>6.1 Feature Importance</w:t>
      </w:r>
    </w:p>
    <w:p w14:paraId="54D07B65">
      <w:pPr>
        <w:pStyle w:val="22"/>
      </w:pPr>
      <w:r>
        <w:t>Analysis of the Random Forest model revealed that previous PM2.5 levels and relative humidity were among the most influential factors in predicting future AQI. The feature importance plot is provided below:</w:t>
      </w:r>
    </w:p>
    <w:p w14:paraId="4C4CBE20">
      <w:pPr>
        <w:pStyle w:val="16"/>
        <w:spacing w:before="0" w:after="60"/>
      </w:pPr>
    </w:p>
    <w:p w14:paraId="5600EEDF">
      <w:pPr>
        <w:pStyle w:val="22"/>
      </w:pPr>
      <w:r>
        <w:drawing>
          <wp:inline distT="0" distB="0" distL="0" distR="0">
            <wp:extent cx="5669915" cy="2614295"/>
            <wp:effectExtent l="0" t="0" r="0" b="0"/>
            <wp:docPr id="1" name="Feature Importance Plot" descr="Feature Importance Plot" title="Feature Importanc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ature Importance Plot" descr="Feature Importance Plot" title="Feature Importance Plot"/>
                    <pic:cNvPicPr>
                      <a:picLocks noChangeAspect="1" noChangeArrowheads="1"/>
                    </pic:cNvPicPr>
                  </pic:nvPicPr>
                  <pic:blipFill>
                    <a:blip r:embed="rId4"/>
                    <a:srcRect l="600" t="18722" r="189" b="5037"/>
                    <a:stretch>
                      <a:fillRect/>
                    </a:stretch>
                  </pic:blipFill>
                  <pic:spPr>
                    <a:xfrm>
                      <a:off x="0" y="0"/>
                      <a:ext cx="5669915" cy="2614295"/>
                    </a:xfrm>
                    <a:prstGeom prst="rect">
                      <a:avLst/>
                    </a:prstGeom>
                  </pic:spPr>
                </pic:pic>
              </a:graphicData>
            </a:graphic>
          </wp:inline>
        </w:drawing>
      </w:r>
    </w:p>
    <w:p w14:paraId="7E2FFE8A">
      <w:pPr>
        <w:pStyle w:val="16"/>
        <w:spacing w:before="0" w:after="60"/>
      </w:pPr>
    </w:p>
    <w:p w14:paraId="1E5F7CDD">
      <w:pPr>
        <w:pStyle w:val="31"/>
      </w:pPr>
      <w:r>
        <w:t>6.2 AQI Forecast Trend</w:t>
      </w:r>
      <w:bookmarkStart w:id="0" w:name="_GoBack"/>
      <w:bookmarkEnd w:id="0"/>
    </w:p>
    <w:p w14:paraId="16F1F7F2">
      <w:pPr>
        <w:pStyle w:val="22"/>
      </w:pPr>
      <w:r>
        <w:t>The forecast trend for the next three days, comparing current/forecast input PM2.5 with the predicted PM2.5 levels 24 hours later, is visualized below:</w:t>
      </w:r>
    </w:p>
    <w:p w14:paraId="60509207">
      <w:pPr>
        <w:pStyle w:val="16"/>
        <w:spacing w:before="0" w:after="60"/>
      </w:pPr>
    </w:p>
    <w:p w14:paraId="7EE5B5A6">
      <w:pPr>
        <w:pStyle w:val="22"/>
      </w:pPr>
      <w:r>
        <w:drawing>
          <wp:inline distT="0" distB="0" distL="0" distR="0">
            <wp:extent cx="5715000" cy="2857500"/>
            <wp:effectExtent l="0" t="0" r="0" b="0"/>
            <wp:docPr id="2" name="AQI Forecast Plot" descr="AQI Forecast Plot" title="AQI Forecas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QI Forecast Plot" descr="AQI Forecast Plot" title="AQI Forecast Plot"/>
                    <pic:cNvPicPr>
                      <a:picLocks noChangeAspect="1" noChangeArrowheads="1"/>
                    </pic:cNvPicPr>
                  </pic:nvPicPr>
                  <pic:blipFill>
                    <a:blip r:embed="rId5"/>
                    <a:srcRect/>
                    <a:stretch>
                      <a:fillRect/>
                    </a:stretch>
                  </pic:blipFill>
                  <pic:spPr>
                    <a:xfrm>
                      <a:off x="0" y="0"/>
                      <a:ext cx="5715000" cy="2857500"/>
                    </a:xfrm>
                    <a:prstGeom prst="rect">
                      <a:avLst/>
                    </a:prstGeom>
                  </pic:spPr>
                </pic:pic>
              </a:graphicData>
            </a:graphic>
          </wp:inline>
        </w:drawing>
      </w:r>
    </w:p>
    <w:p w14:paraId="5CC91342">
      <w:pPr>
        <w:pStyle w:val="16"/>
        <w:spacing w:before="0" w:after="60"/>
      </w:pPr>
    </w:p>
    <w:p w14:paraId="13C63A9A">
      <w:pPr>
        <w:pStyle w:val="30"/>
      </w:pPr>
      <w:r>
        <w:t>7. Web Application Dashboard</w:t>
      </w:r>
    </w:p>
    <w:p w14:paraId="63485E64">
      <w:pPr>
        <w:pStyle w:val="22"/>
      </w:pPr>
      <w:r>
        <w:t>A web application dashboard was developed using Streamlit to provide an interactive interface for real-time and forecasted AQI data. The dashboard displays current PM2.5 levels, 24-hour ahead predictions, model performance metrics, and the forecast trend plot.</w:t>
      </w:r>
    </w:p>
    <w:p w14:paraId="0903E955">
      <w:pPr>
        <w:pStyle w:val="16"/>
        <w:spacing w:before="0" w:after="60"/>
      </w:pPr>
    </w:p>
    <w:p w14:paraId="531B1AA9">
      <w:pPr>
        <w:pStyle w:val="30"/>
      </w:pPr>
      <w:r>
        <w:t>8. Challenges Faced and Solutions</w:t>
      </w:r>
    </w:p>
    <w:p w14:paraId="740517D4">
      <w:pPr>
        <w:pStyle w:val="25"/>
        <w:numPr>
          <w:ilvl w:val="0"/>
          <w:numId w:val="1"/>
        </w:numPr>
      </w:pPr>
      <w:r>
        <w:rPr>
          <w:rStyle w:val="37"/>
          <w:b/>
          <w:bCs/>
        </w:rPr>
        <w:t>Data Source Selection</w:t>
      </w:r>
      <w:r>
        <w:t>: Initial attempts with OpenWeatherproved insufficient for the required historical data depth</w:t>
      </w:r>
      <w:r>
        <w:rPr>
          <w:rFonts w:hint="default"/>
          <w:lang w:val="en-US"/>
        </w:rPr>
        <w:t xml:space="preserve"> fetching current data perfectly but not convenient for previous months data </w:t>
      </w:r>
      <w:r>
        <w:t>. The solution involved switching to the Open-Meteo API, which offered more comprehensive historical data within its free tier.</w:t>
      </w:r>
    </w:p>
    <w:p w14:paraId="7DAE06DA">
      <w:pPr>
        <w:pStyle w:val="25"/>
        <w:numPr>
          <w:ilvl w:val="0"/>
          <w:numId w:val="1"/>
        </w:numPr>
      </w:pPr>
      <w:r>
        <w:rPr>
          <w:rStyle w:val="37"/>
          <w:b/>
          <w:bCs/>
        </w:rPr>
        <w:t>Dependency Management</w:t>
      </w:r>
      <w:r>
        <w:t xml:space="preserve">: Encountered </w:t>
      </w:r>
      <w:r>
        <w:rPr>
          <w:u w:val="single"/>
        </w:rPr>
        <w:t>ModuleNotFoundError</w:t>
      </w:r>
      <w:r>
        <w:t xml:space="preserve"> for </w:t>
      </w:r>
      <w:r>
        <w:rPr>
          <w:u w:val="single"/>
        </w:rPr>
        <w:t>scikit-learn</w:t>
      </w:r>
      <w:r>
        <w:t xml:space="preserve"> and </w:t>
      </w:r>
      <w:r>
        <w:rPr>
          <w:u w:val="single"/>
        </w:rPr>
        <w:t>tensorflow</w:t>
      </w:r>
      <w:r>
        <w:t xml:space="preserve">. These issues were resolved by manually installing the necessary packages within the sandbox environment using </w:t>
      </w:r>
      <w:r>
        <w:rPr>
          <w:u w:val="single"/>
        </w:rPr>
        <w:t>pip3</w:t>
      </w:r>
      <w:r>
        <w:t>.</w:t>
      </w:r>
    </w:p>
    <w:p w14:paraId="6BB12AEA">
      <w:pPr>
        <w:pStyle w:val="25"/>
        <w:numPr>
          <w:ilvl w:val="0"/>
          <w:numId w:val="1"/>
        </w:numPr>
      </w:pPr>
      <w:r>
        <w:rPr>
          <w:rStyle w:val="37"/>
          <w:b/>
          <w:bCs/>
        </w:rPr>
        <w:t>Prediction Target Definition</w:t>
      </w:r>
      <w:r>
        <w:t xml:space="preserve">: The target variable was defined as PM2.5 levels 24 hours in the future. This necessitated careful handling of data shifting and imputation of </w:t>
      </w:r>
      <w:r>
        <w:rPr>
          <w:u w:val="single"/>
        </w:rPr>
        <w:t>NaN</w:t>
      </w:r>
      <w:r>
        <w:t xml:space="preserve"> values resulting from these operations during the feature engineering phase.</w:t>
      </w:r>
    </w:p>
    <w:p w14:paraId="3E697DC3">
      <w:pPr>
        <w:pStyle w:val="16"/>
        <w:spacing w:before="0" w:after="60"/>
      </w:pPr>
    </w:p>
    <w:p w14:paraId="20301EE1">
      <w:pPr>
        <w:pStyle w:val="16"/>
        <w:spacing w:before="0" w:after="60"/>
      </w:pPr>
    </w:p>
    <w:p w14:paraId="58F14390">
      <w:pPr>
        <w:pStyle w:val="22"/>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587D30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4"/>
      <w:szCs w:val="24"/>
    </w:rPr>
  </w:style>
  <w:style w:type="paragraph" w:styleId="6">
    <w:name w:val="heading 5"/>
    <w:next w:val="1"/>
    <w:qFormat/>
    <w:uiPriority w:val="0"/>
    <w:rPr>
      <w:color w:val="2E74B5"/>
      <w:sz w:val="24"/>
      <w:szCs w:val="24"/>
    </w:rPr>
  </w:style>
  <w:style w:type="paragraph" w:styleId="7">
    <w:name w:val="heading 6"/>
    <w:next w:val="1"/>
    <w:qFormat/>
    <w:uiPriority w:val="0"/>
    <w:rPr>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color="0563C1"/>
    </w:rPr>
  </w:style>
  <w:style w:type="paragraph" w:styleId="13">
    <w:name w:val="Title"/>
    <w:qFormat/>
    <w:uiPriority w:val="0"/>
    <w:rPr>
      <w:sz w:val="56"/>
      <w:szCs w:val="56"/>
    </w:rPr>
  </w:style>
  <w:style w:type="paragraph" w:styleId="14">
    <w:name w:val="List Paragraph"/>
    <w:qFormat/>
    <w:uiPriority w:val="0"/>
    <w:rPr>
      <w:sz w:val="24"/>
      <w:szCs w:val="24"/>
    </w:rPr>
  </w:style>
  <w:style w:type="character" w:customStyle="1" w:styleId="15">
    <w:name w:val="Footnote Text Char"/>
    <w:link w:val="11"/>
    <w:semiHidden/>
    <w:unhideWhenUsed/>
    <w:qFormat/>
    <w:uiPriority w:val="99"/>
    <w:rPr>
      <w:sz w:val="20"/>
      <w:szCs w:val="20"/>
    </w:rPr>
  </w:style>
  <w:style w:type="paragraph" w:customStyle="1" w:styleId="16">
    <w:name w:val="MdSpace"/>
    <w:qFormat/>
    <w:uiPriority w:val="0"/>
    <w:pPr>
      <w:spacing w:before="0" w:after="0"/>
    </w:pPr>
    <w:rPr>
      <w:sz w:val="12"/>
      <w:szCs w:val="12"/>
    </w:rPr>
  </w:style>
  <w:style w:type="paragraph" w:customStyle="1" w:styleId="17">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rPr>
  </w:style>
  <w:style w:type="paragraph" w:customStyle="1" w:styleId="18">
    <w:name w:val="MdHr"/>
    <w:qFormat/>
    <w:uiPriority w:val="0"/>
    <w:pPr>
      <w:pBdr>
        <w:bottom w:val="single" w:color="A5A5A5" w:sz="2" w:space="1"/>
      </w:pBdr>
      <w:spacing w:before="240" w:after="240"/>
    </w:pPr>
    <w:rPr>
      <w:sz w:val="24"/>
      <w:szCs w:val="24"/>
    </w:rPr>
  </w:style>
  <w:style w:type="paragraph" w:customStyle="1" w:styleId="19">
    <w:name w:val="MdBlockquote"/>
    <w:qFormat/>
    <w:uiPriority w:val="0"/>
    <w:pPr>
      <w:pBdr>
        <w:left w:val="single" w:color="A5A5A5" w:sz="20" w:space="12"/>
      </w:pBdr>
      <w:spacing w:before="200" w:after="200"/>
      <w:ind w:left="360"/>
    </w:pPr>
    <w:rPr>
      <w:i/>
      <w:iCs/>
      <w:color w:val="666666"/>
      <w:sz w:val="24"/>
      <w:szCs w:val="24"/>
    </w:rPr>
  </w:style>
  <w:style w:type="paragraph" w:customStyle="1" w:styleId="20">
    <w:name w:val="MdHtml"/>
    <w:qFormat/>
    <w:uiPriority w:val="0"/>
    <w:rPr>
      <w:rFonts w:ascii="Courier New" w:hAnsi="Courier New" w:eastAsia="Courier New" w:cs="Courier New"/>
      <w:color w:val="ED7D31"/>
      <w:sz w:val="24"/>
      <w:szCs w:val="24"/>
    </w:rPr>
  </w:style>
  <w:style w:type="paragraph" w:customStyle="1" w:styleId="21">
    <w:name w:val="MdDef"/>
    <w:qFormat/>
    <w:uiPriority w:val="0"/>
    <w:pPr>
      <w:ind w:left="720" w:hanging="360"/>
    </w:pPr>
    <w:rPr>
      <w:sz w:val="24"/>
      <w:szCs w:val="24"/>
    </w:rPr>
  </w:style>
  <w:style w:type="paragraph" w:customStyle="1" w:styleId="22">
    <w:name w:val="MdParagraph"/>
    <w:qFormat/>
    <w:uiPriority w:val="0"/>
    <w:pPr>
      <w:spacing w:before="120" w:after="120"/>
    </w:pPr>
    <w:rPr>
      <w:sz w:val="24"/>
      <w:szCs w:val="24"/>
    </w:rPr>
  </w:style>
  <w:style w:type="paragraph" w:customStyle="1" w:styleId="23">
    <w:name w:val="MdText"/>
    <w:qFormat/>
    <w:uiPriority w:val="0"/>
    <w:rPr>
      <w:sz w:val="24"/>
      <w:szCs w:val="24"/>
    </w:rPr>
  </w:style>
  <w:style w:type="paragraph" w:customStyle="1" w:styleId="24">
    <w:name w:val="MdFootnote"/>
    <w:qFormat/>
    <w:uiPriority w:val="0"/>
    <w:rPr>
      <w:sz w:val="24"/>
      <w:szCs w:val="24"/>
      <w:vertAlign w:val="superscript"/>
    </w:rPr>
  </w:style>
  <w:style w:type="paragraph" w:customStyle="1" w:styleId="25">
    <w:name w:val="MdListItem"/>
    <w:qFormat/>
    <w:uiPriority w:val="0"/>
    <w:pPr>
      <w:spacing w:before="60" w:after="60"/>
      <w:ind w:left="720" w:hanging="360"/>
    </w:pPr>
    <w:rPr>
      <w:sz w:val="24"/>
      <w:szCs w:val="24"/>
    </w:rPr>
  </w:style>
  <w:style w:type="paragraph" w:customStyle="1" w:styleId="26">
    <w:name w:val="MdTable"/>
    <w:qFormat/>
    <w:uiPriority w:val="0"/>
    <w:pPr>
      <w:spacing w:before="60" w:after="60"/>
    </w:pPr>
    <w:rPr>
      <w:sz w:val="24"/>
      <w:szCs w:val="24"/>
    </w:rPr>
  </w:style>
  <w:style w:type="paragraph" w:customStyle="1" w:styleId="27">
    <w:name w:val="MdTableHeader"/>
    <w:qFormat/>
    <w:uiPriority w:val="0"/>
    <w:pPr>
      <w:spacing w:before="60" w:after="60"/>
    </w:pPr>
    <w:rPr>
      <w:b/>
      <w:bCs/>
      <w:sz w:val="22"/>
      <w:szCs w:val="22"/>
    </w:rPr>
  </w:style>
  <w:style w:type="paragraph" w:customStyle="1" w:styleId="28">
    <w:name w:val="MdTableCell"/>
    <w:qFormat/>
    <w:uiPriority w:val="0"/>
    <w:pPr>
      <w:spacing w:before="40" w:after="40"/>
    </w:pPr>
    <w:rPr>
      <w:sz w:val="20"/>
      <w:szCs w:val="20"/>
    </w:rPr>
  </w:style>
  <w:style w:type="paragraph" w:customStyle="1" w:styleId="29">
    <w:name w:val="MdHeading1"/>
    <w:qFormat/>
    <w:uiPriority w:val="0"/>
    <w:pPr>
      <w:keepNext/>
      <w:spacing w:before="480" w:after="240"/>
      <w:outlineLvl w:val="0"/>
    </w:pPr>
    <w:rPr>
      <w:b/>
      <w:bCs/>
      <w:sz w:val="36"/>
      <w:szCs w:val="36"/>
    </w:rPr>
  </w:style>
  <w:style w:type="paragraph" w:customStyle="1" w:styleId="30">
    <w:name w:val="MdHeading2"/>
    <w:qFormat/>
    <w:uiPriority w:val="0"/>
    <w:pPr>
      <w:keepNext/>
      <w:spacing w:before="400" w:after="200"/>
      <w:outlineLvl w:val="1"/>
    </w:pPr>
    <w:rPr>
      <w:b/>
      <w:bCs/>
      <w:sz w:val="32"/>
      <w:szCs w:val="32"/>
    </w:rPr>
  </w:style>
  <w:style w:type="paragraph" w:customStyle="1" w:styleId="31">
    <w:name w:val="MdHeading3"/>
    <w:qFormat/>
    <w:uiPriority w:val="0"/>
    <w:pPr>
      <w:keepNext/>
      <w:spacing w:before="320" w:after="160"/>
      <w:outlineLvl w:val="2"/>
    </w:pPr>
    <w:rPr>
      <w:b/>
      <w:bCs/>
      <w:sz w:val="28"/>
      <w:szCs w:val="28"/>
    </w:rPr>
  </w:style>
  <w:style w:type="paragraph" w:customStyle="1" w:styleId="32">
    <w:name w:val="MdHeading4"/>
    <w:qFormat/>
    <w:uiPriority w:val="0"/>
    <w:pPr>
      <w:keepNext/>
      <w:spacing w:before="280" w:after="140"/>
      <w:outlineLvl w:val="3"/>
    </w:pPr>
    <w:rPr>
      <w:b/>
      <w:bCs/>
      <w:sz w:val="26"/>
      <w:szCs w:val="26"/>
    </w:rPr>
  </w:style>
  <w:style w:type="paragraph" w:customStyle="1" w:styleId="33">
    <w:name w:val="MdHeading5"/>
    <w:qFormat/>
    <w:uiPriority w:val="0"/>
    <w:pPr>
      <w:keepNext/>
      <w:spacing w:before="240" w:after="120"/>
      <w:outlineLvl w:val="4"/>
    </w:pPr>
    <w:rPr>
      <w:b/>
      <w:bCs/>
      <w:i/>
      <w:iCs/>
      <w:sz w:val="24"/>
      <w:szCs w:val="24"/>
    </w:rPr>
  </w:style>
  <w:style w:type="paragraph" w:customStyle="1" w:styleId="34">
    <w:name w:val="MdHeading6"/>
    <w:qFormat/>
    <w:uiPriority w:val="0"/>
    <w:pPr>
      <w:keepNext/>
      <w:spacing w:before="240" w:after="120"/>
      <w:outlineLvl w:val="5"/>
    </w:pPr>
    <w:rPr>
      <w:i/>
      <w:iCs/>
      <w:sz w:val="24"/>
      <w:szCs w:val="24"/>
    </w:rPr>
  </w:style>
  <w:style w:type="character" w:customStyle="1" w:styleId="35">
    <w:name w:val="MdTag"/>
    <w:unhideWhenUsed/>
    <w:qFormat/>
    <w:uiPriority w:val="99"/>
    <w:rPr>
      <w:rFonts w:ascii="Courier New" w:hAnsi="Courier New" w:eastAsia="Courier New" w:cs="Courier New"/>
      <w:color w:val="ED7D31"/>
    </w:rPr>
  </w:style>
  <w:style w:type="character" w:customStyle="1" w:styleId="36">
    <w:name w:val="MdLink"/>
    <w:unhideWhenUsed/>
    <w:qFormat/>
    <w:uiPriority w:val="99"/>
    <w:rPr>
      <w:color w:val="0563C1"/>
      <w:u w:val="single"/>
    </w:rPr>
  </w:style>
  <w:style w:type="character" w:customStyle="1" w:styleId="37">
    <w:name w:val="MdStrong"/>
    <w:unhideWhenUsed/>
    <w:qFormat/>
    <w:uiPriority w:val="99"/>
    <w:rPr>
      <w:b/>
      <w:bCs/>
    </w:rPr>
  </w:style>
  <w:style w:type="character" w:customStyle="1" w:styleId="38">
    <w:name w:val="MdEm"/>
    <w:unhideWhenUsed/>
    <w:qFormat/>
    <w:uiPriority w:val="99"/>
    <w:rPr>
      <w:i/>
      <w:iCs/>
    </w:rPr>
  </w:style>
  <w:style w:type="character" w:customStyle="1" w:styleId="39">
    <w:name w:val="MdCodespan"/>
    <w:unhideWhenUsed/>
    <w:qFormat/>
    <w:uiPriority w:val="99"/>
    <w:rPr>
      <w:rFonts w:ascii="Courier New" w:hAnsi="Courier New" w:eastAsia="Courier New" w:cs="Courier New"/>
      <w:color w:val="70AD47"/>
    </w:rPr>
  </w:style>
  <w:style w:type="character" w:customStyle="1" w:styleId="40">
    <w:name w:val="MdDel"/>
    <w:unhideWhenUsed/>
    <w:qFormat/>
    <w:uiPriority w:val="99"/>
    <w:rPr>
      <w:strike/>
    </w:rPr>
  </w:style>
  <w:style w:type="character" w:customStyle="1" w:styleId="41">
    <w:name w:val="MdBr"/>
    <w:unhideWhenUsed/>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249</Words>
  <Characters>1576</Characters>
  <TotalTime>5</TotalTime>
  <ScaleCrop>false</ScaleCrop>
  <LinksUpToDate>false</LinksUpToDate>
  <CharactersWithSpaces>1798</CharactersWithSpaces>
  <Application>WPS Office_12.1.0.25180_F1E327BC-269C-435d-A152-05C5408002CA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2026-02-17T19:45:00Z</dcterms:created>
  <dc:creator>md2docx converter</dc:creator>
  <dc:description>Converted from Markdown</dc:description>
  <cp:lastModifiedBy>sarwa</cp:lastModifiedBy>
  <dcterms:modified xsi:type="dcterms:W3CDTF">2026-02-17T19:51:58Z</dcterms:modified>
  <dc:title>Converted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eyJoZGlkIjoiNDlhYjYyM2E5ZTVjMTVkY2E4Mjg4NmQ2ZGZlYzVhMWUifQ==</vt:lpwstr>
  </property>
  <property fmtid="{D5CDD505-2E9C-101B-9397-08002B2CF9AE}" pid="3" name="KSOProductBuildVer">
    <vt:lpwstr>1033-12.1.0.25180</vt:lpwstr>
  </property>
  <property fmtid="{D5CDD505-2E9C-101B-9397-08002B2CF9AE}" pid="4" name="ICV">
    <vt:lpwstr>0253CAFBF57E4311ABC995B605438B91_12</vt:lpwstr>
  </property>
</Properties>
</file>