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Татьяна</w:t>
      </w:r>
      <w:r>
        <w:t xml:space="preserve"> </w:t>
      </w:r>
      <w:r>
        <w:t xml:space="preserve">Александровна</w:t>
      </w:r>
      <w:r>
        <w:t xml:space="preserve"> </w:t>
      </w:r>
      <w:r>
        <w:t xml:space="preserve">Буллер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3" w:name="определение-кодировки-шифротекста"/>
    <w:p>
      <w:pPr>
        <w:pStyle w:val="Heading2"/>
      </w:pPr>
      <w:r>
        <w:rPr>
          <w:rStyle w:val="SectionNumber"/>
        </w:rPr>
        <w:t xml:space="preserve">2.1</w:t>
      </w:r>
      <w:r>
        <w:tab/>
      </w:r>
      <w:r>
        <w:t xml:space="preserve">Определение кодировки шифротекста</w:t>
      </w:r>
    </w:p>
    <w:p>
      <w:pPr>
        <w:pStyle w:val="FirstParagraph"/>
      </w:pPr>
      <w:r>
        <w:t xml:space="preserve">Сообщение</w:t>
      </w:r>
      <w:r>
        <w:t xml:space="preserve"> </w:t>
      </w:r>
      <w:r>
        <w:t xml:space="preserve">“</w:t>
      </w:r>
      <w:r>
        <w:t xml:space="preserve">D8 F2 E8 F0 EB E8 F6 20 2D 20 C2 FB 20 C3 E5 F0 EE E9 21 21</w:t>
      </w:r>
      <w:r>
        <w:t xml:space="preserve">”</w:t>
      </w:r>
      <w:r>
        <w:t xml:space="preserve"> </w:t>
      </w:r>
      <w:r>
        <w:t xml:space="preserve">написано на русском языке, однако при переводе его из hex в текст стандартных кодировок ASCII/UTF-8 результат не совпадал с тем, какой был задан условием задания. Путем перебора кодировок было выяснено, что сообщение было написано в кодировке Windows-1251.</w:t>
      </w:r>
    </w:p>
    <w:p>
      <w:pPr>
        <w:pStyle w:val="CaptionedFigure"/>
      </w:pPr>
      <w:bookmarkStart w:id="22" w:name="fig:001"/>
      <w:r>
        <w:drawing>
          <wp:inline>
            <wp:extent cx="5334000" cy="3747247"/>
            <wp:effectExtent b="0" l="0" r="0" t="0"/>
            <wp:docPr descr="Рис. 1: Кодировка файл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747247"/>
                    </a:xfrm>
                    <a:prstGeom prst="rect">
                      <a:avLst/>
                    </a:prstGeom>
                    <a:noFill/>
                    <a:ln w="9525">
                      <a:noFill/>
                      <a:headEnd/>
                      <a:tailEnd/>
                    </a:ln>
                  </pic:spPr>
                </pic:pic>
              </a:graphicData>
            </a:graphic>
          </wp:inline>
        </w:drawing>
      </w:r>
      <w:bookmarkEnd w:id="22"/>
    </w:p>
    <w:p>
      <w:pPr>
        <w:pStyle w:val="ImageCaption"/>
      </w:pPr>
      <w:r>
        <w:t xml:space="preserve">Рис. 1: Кодировка файла</w:t>
      </w:r>
    </w:p>
    <w:bookmarkEnd w:id="23"/>
    <w:bookmarkStart w:id="28" w:name="X7bfcad30f0a2a95c1f1866e709c0409d8480e2c"/>
    <w:p>
      <w:pPr>
        <w:pStyle w:val="Heading2"/>
      </w:pPr>
      <w:r>
        <w:rPr>
          <w:rStyle w:val="SectionNumber"/>
        </w:rPr>
        <w:t xml:space="preserve">2.2</w:t>
      </w:r>
      <w:r>
        <w:tab/>
      </w:r>
      <w:r>
        <w:t xml:space="preserve">Программа дешифрования по известному открытому тексту</w:t>
      </w:r>
    </w:p>
    <w:p>
      <w:pPr>
        <w:pStyle w:val="FirstParagraph"/>
      </w:pPr>
      <w:r>
        <w:t xml:space="preserve">Далее необходимо было написать код, с помощью которого можно было бы дешифровать сообщение. Метод шифрования XOR крайне уязвим к атакам по известному открытому тексту, поэтому, зная сообщение на выходе, мы без труда можем получить ключ, которым нужно было зашифровать строку, чтобы его получить. Для этого нужно обернуть операцию.</w:t>
      </w:r>
      <w:r>
        <w:t xml:space="preserve"> </w:t>
      </w:r>
      <w:r>
        <w:t xml:space="preserve">Переведем известные нам строки шифра и открытого текста (</w:t>
      </w:r>
      <w:r>
        <w:t xml:space="preserve">“</w:t>
      </w:r>
      <w:r>
        <w:t xml:space="preserve">С Новым Годом, друзья!</w:t>
      </w:r>
      <w:r>
        <w:t xml:space="preserve">”</w:t>
      </w:r>
      <w:r>
        <w:t xml:space="preserve"> </w:t>
      </w:r>
      <w:r>
        <w:t xml:space="preserve">в кодировке Windows-1251) в hex. Для того, чтобы далее провести с ними операции XOR, нужно перевести эти строки далее в бинарный формат. После сравним строки посимвольно и запишем результат: если символ в позиции n строки А совпадает с символом в той же позиции в строке Б, то в результат дописывается 0, иначе - 1. Необходимо отметить, что для корректной работы кода и получения полного ключа строки должны совпадать по длине. В случае, если какая-то из них короче другой, она повторяется до того, как длины совпадут.</w:t>
      </w:r>
    </w:p>
    <w:p>
      <w:pPr>
        <w:pStyle w:val="CaptionedFigure"/>
      </w:pPr>
      <w:bookmarkStart w:id="25" w:name="fig:002"/>
      <w:r>
        <w:drawing>
          <wp:inline>
            <wp:extent cx="5334000" cy="4442113"/>
            <wp:effectExtent b="0" l="0" r="0" t="0"/>
            <wp:docPr descr="Рис. 2: Код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4442113"/>
                    </a:xfrm>
                    <a:prstGeom prst="rect">
                      <a:avLst/>
                    </a:prstGeom>
                    <a:noFill/>
                    <a:ln w="9525">
                      <a:noFill/>
                      <a:headEnd/>
                      <a:tailEnd/>
                    </a:ln>
                  </pic:spPr>
                </pic:pic>
              </a:graphicData>
            </a:graphic>
          </wp:inline>
        </w:drawing>
      </w:r>
      <w:bookmarkEnd w:id="25"/>
    </w:p>
    <w:p>
      <w:pPr>
        <w:pStyle w:val="ImageCaption"/>
      </w:pPr>
      <w:r>
        <w:t xml:space="preserve">Рис. 2: Код программы</w:t>
      </w:r>
    </w:p>
    <w:p>
      <w:pPr>
        <w:pStyle w:val="BodyText"/>
      </w:pPr>
      <w:r>
        <w:t xml:space="preserve">Программа выдает ключ в формате двоичного числа, который при необходимости далее можно перевести в шестнадцатиричный формат. Использовав полученный ключ вместо шифротекста, мы получим другой двоичный вывод. Переведя его в текст и расшифровав в кодировке Windows-1251 получим сообщение, ключ к которому и хотели найти, что говорит о том, что код сработал корректно.</w:t>
      </w:r>
    </w:p>
    <w:p>
      <w:pPr>
        <w:pStyle w:val="CaptionedFigure"/>
      </w:pPr>
      <w:bookmarkStart w:id="27" w:name="fig:003"/>
      <w:r>
        <w:drawing>
          <wp:inline>
            <wp:extent cx="5334000" cy="3535117"/>
            <wp:effectExtent b="0" l="0" r="0" t="0"/>
            <wp:docPr descr="Рис. 3: Расшифровка полученного с новым ключом сообщения"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3535117"/>
                    </a:xfrm>
                    <a:prstGeom prst="rect">
                      <a:avLst/>
                    </a:prstGeom>
                    <a:noFill/>
                    <a:ln w="9525">
                      <a:noFill/>
                      <a:headEnd/>
                      <a:tailEnd/>
                    </a:ln>
                  </pic:spPr>
                </pic:pic>
              </a:graphicData>
            </a:graphic>
          </wp:inline>
        </w:drawing>
      </w:r>
      <w:bookmarkEnd w:id="27"/>
    </w:p>
    <w:p>
      <w:pPr>
        <w:pStyle w:val="ImageCaption"/>
      </w:pPr>
      <w:r>
        <w:t xml:space="preserve">Рис. 3: Расшифровка полученного с новым ключом сообщения</w:t>
      </w:r>
    </w:p>
    <w:bookmarkEnd w:id="28"/>
    <w:bookmarkEnd w:id="29"/>
    <w:bookmarkStart w:id="30" w:name="листинг-программы"/>
    <w:p>
      <w:pPr>
        <w:pStyle w:val="Heading1"/>
      </w:pPr>
      <w:r>
        <w:rPr>
          <w:rStyle w:val="SectionNumber"/>
        </w:rPr>
        <w:t xml:space="preserve">3</w:t>
      </w:r>
      <w:r>
        <w:tab/>
      </w:r>
      <w:r>
        <w:t xml:space="preserve">Листинг программы</w:t>
      </w:r>
    </w:p>
    <w:p>
      <w:pPr>
        <w:pStyle w:val="SourceCode"/>
      </w:pPr>
      <w:r>
        <w:br/>
      </w:r>
      <w:r>
        <w:rPr>
          <w:rStyle w:val="CommentTok"/>
        </w:rPr>
        <w:t xml:space="preserve"># само за себя говорит</w:t>
      </w:r>
      <w:r>
        <w:br/>
      </w:r>
      <w:r>
        <w:rPr>
          <w:rStyle w:val="KeywordTok"/>
        </w:rPr>
        <w:t xml:space="preserve">def</w:t>
      </w:r>
      <w:r>
        <w:rPr>
          <w:rStyle w:val="NormalTok"/>
        </w:rPr>
        <w:t xml:space="preserve"> hex_to_bin(ints):</w:t>
      </w:r>
      <w:r>
        <w:br/>
      </w:r>
      <w:r>
        <w:rPr>
          <w:rStyle w:val="NormalTok"/>
        </w:rPr>
        <w:t xml:space="preserve">    scale </w:t>
      </w:r>
      <w:r>
        <w:rPr>
          <w:rStyle w:val="OperatorTok"/>
        </w:rPr>
        <w:t xml:space="preserve">=</w:t>
      </w:r>
      <w:r>
        <w:rPr>
          <w:rStyle w:val="NormalTok"/>
        </w:rPr>
        <w:t xml:space="preserve"> </w:t>
      </w:r>
      <w:r>
        <w:rPr>
          <w:rStyle w:val="DecValTok"/>
        </w:rPr>
        <w:t xml:space="preserve">16</w:t>
      </w:r>
      <w:r>
        <w:br/>
      </w:r>
      <w:r>
        <w:rPr>
          <w:rStyle w:val="NormalTok"/>
        </w:rPr>
        <w:t xml:space="preserve">    res </w:t>
      </w:r>
      <w:r>
        <w:rPr>
          <w:rStyle w:val="OperatorTok"/>
        </w:rPr>
        <w:t xml:space="preserve">=</w:t>
      </w:r>
      <w:r>
        <w:rPr>
          <w:rStyle w:val="NormalTok"/>
        </w:rPr>
        <w:t xml:space="preserve"> </w:t>
      </w:r>
      <w:r>
        <w:rPr>
          <w:rStyle w:val="BuiltInTok"/>
        </w:rPr>
        <w:t xml:space="preserve">bin</w:t>
      </w:r>
      <w:r>
        <w:rPr>
          <w:rStyle w:val="NormalTok"/>
        </w:rPr>
        <w:t xml:space="preserve">(</w:t>
      </w:r>
      <w:r>
        <w:rPr>
          <w:rStyle w:val="BuiltInTok"/>
        </w:rPr>
        <w:t xml:space="preserve">int</w:t>
      </w:r>
      <w:r>
        <w:rPr>
          <w:rStyle w:val="NormalTok"/>
        </w:rPr>
        <w:t xml:space="preserve">(ints, scale)).zfill(</w:t>
      </w:r>
      <w:r>
        <w:rPr>
          <w:rStyle w:val="DecValTok"/>
        </w:rPr>
        <w:t xml:space="preserve">8</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br/>
      </w:r>
      <w:r>
        <w:rPr>
          <w:rStyle w:val="CommentTok"/>
        </w:rPr>
        <w:t xml:space="preserve"># xor для двух строк (должны быть одинаковой длины, чтобы получить полный ключ/шифротекст. в случае, если длины строк не совпадают, ту, что короче, необходимо повторить до соответствия длине второй строки)</w:t>
      </w:r>
      <w:r>
        <w:br/>
      </w:r>
      <w:r>
        <w:rPr>
          <w:rStyle w:val="KeywordTok"/>
        </w:rPr>
        <w:t xml:space="preserve">def</w:t>
      </w:r>
      <w:r>
        <w:rPr>
          <w:rStyle w:val="NormalTok"/>
        </w:rPr>
        <w:t xml:space="preserve"> xor(a, b, n):</w:t>
      </w:r>
      <w:r>
        <w:br/>
      </w:r>
      <w:r>
        <w:rPr>
          <w:rStyle w:val="NormalTok"/>
        </w:rPr>
        <w:t xml:space="preserve">    ans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if</w:t>
      </w:r>
      <w:r>
        <w:rPr>
          <w:rStyle w:val="NormalTok"/>
        </w:rPr>
        <w:t xml:space="preserve"> (a[i] </w:t>
      </w:r>
      <w:r>
        <w:rPr>
          <w:rStyle w:val="OperatorTok"/>
        </w:rPr>
        <w:t xml:space="preserve">==</w:t>
      </w:r>
      <w:r>
        <w:rPr>
          <w:rStyle w:val="NormalTok"/>
        </w:rPr>
        <w:t xml:space="preserve"> b[i]): </w:t>
      </w:r>
      <w:r>
        <w:br/>
      </w:r>
      <w:r>
        <w:rPr>
          <w:rStyle w:val="NormalTok"/>
        </w:rPr>
        <w:t xml:space="preserve">            ans </w:t>
      </w:r>
      <w:r>
        <w:rPr>
          <w:rStyle w:val="OperatorTok"/>
        </w:rPr>
        <w:t xml:space="preserve">+=</w:t>
      </w:r>
      <w:r>
        <w:rPr>
          <w:rStyle w:val="NormalTok"/>
        </w:rPr>
        <w:t xml:space="preserve"> </w:t>
      </w:r>
      <w:r>
        <w:rPr>
          <w:rStyle w:val="StringTok"/>
        </w:rPr>
        <w:t xml:space="preserve">"0"</w:t>
      </w:r>
      <w:r>
        <w:br/>
      </w:r>
      <w:r>
        <w:rPr>
          <w:rStyle w:val="NormalTok"/>
        </w:rPr>
        <w:t xml:space="preserve">        </w:t>
      </w:r>
      <w:r>
        <w:rPr>
          <w:rStyle w:val="ControlFlowTok"/>
        </w:rPr>
        <w:t xml:space="preserve">else</w:t>
      </w:r>
      <w:r>
        <w:rPr>
          <w:rStyle w:val="NormalTok"/>
        </w:rPr>
        <w:t xml:space="preserve">: </w:t>
      </w:r>
      <w:r>
        <w:br/>
      </w:r>
      <w:r>
        <w:rPr>
          <w:rStyle w:val="NormalTok"/>
        </w:rPr>
        <w:t xml:space="preserve">            ans </w:t>
      </w:r>
      <w:r>
        <w:rPr>
          <w:rStyle w:val="OperatorTok"/>
        </w:rPr>
        <w:t xml:space="preserve">+=</w:t>
      </w:r>
      <w:r>
        <w:rPr>
          <w:rStyle w:val="NormalTok"/>
        </w:rPr>
        <w:t xml:space="preserve"> </w:t>
      </w:r>
      <w:r>
        <w:rPr>
          <w:rStyle w:val="StringTok"/>
        </w:rPr>
        <w:t xml:space="preserve">"1"</w:t>
      </w:r>
      <w:r>
        <w:br/>
      </w:r>
      <w:r>
        <w:rPr>
          <w:rStyle w:val="NormalTok"/>
        </w:rPr>
        <w:t xml:space="preserve">    </w:t>
      </w:r>
      <w:r>
        <w:rPr>
          <w:rStyle w:val="ControlFlowTok"/>
        </w:rPr>
        <w:t xml:space="preserve">return</w:t>
      </w:r>
      <w:r>
        <w:rPr>
          <w:rStyle w:val="NormalTok"/>
        </w:rPr>
        <w:t xml:space="preserve"> ans </w:t>
      </w:r>
      <w:r>
        <w:br/>
      </w:r>
      <w:r>
        <w:rPr>
          <w:rStyle w:val="NormalTok"/>
        </w:rPr>
        <w:t xml:space="preserve"> </w:t>
      </w:r>
      <w:r>
        <w:br/>
      </w:r>
      <w:r>
        <w:rPr>
          <w:rStyle w:val="CommentTok"/>
        </w:rPr>
        <w:t xml:space="preserve"># main code</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 </w:t>
      </w:r>
      <w:r>
        <w:rPr>
          <w:rStyle w:val="OperatorTok"/>
        </w:rPr>
        <w:t xml:space="preserve">=</w:t>
      </w:r>
      <w:r>
        <w:rPr>
          <w:rStyle w:val="NormalTok"/>
        </w:rPr>
        <w:t xml:space="preserve"> hex_to_bin(</w:t>
      </w:r>
      <w:r>
        <w:rPr>
          <w:rStyle w:val="StringTok"/>
        </w:rPr>
        <w:t xml:space="preserve">'d8f2e8f0ebe8f6202d20c2fb20c3e5f0eee92121d8f2'</w:t>
      </w:r>
      <w:r>
        <w:rPr>
          <w:rStyle w:val="NormalTok"/>
        </w:rPr>
        <w:t xml:space="preserve">)</w:t>
      </w:r>
      <w:r>
        <w:br/>
      </w:r>
      <w:r>
        <w:rPr>
          <w:rStyle w:val="NormalTok"/>
        </w:rPr>
        <w:t xml:space="preserve">    b </w:t>
      </w:r>
      <w:r>
        <w:rPr>
          <w:rStyle w:val="OperatorTok"/>
        </w:rPr>
        <w:t xml:space="preserve">=</w:t>
      </w:r>
      <w:r>
        <w:rPr>
          <w:rStyle w:val="NormalTok"/>
        </w:rPr>
        <w:t xml:space="preserve"> hex_to_bin(</w:t>
      </w:r>
      <w:r>
        <w:rPr>
          <w:rStyle w:val="StringTok"/>
        </w:rPr>
        <w:t xml:space="preserve">'d120cdeee2fbec20c3eee4eeec2c20e4f0f3e7fcff21'</w:t>
      </w:r>
      <w:r>
        <w:rPr>
          <w:rStyle w:val="NormalTok"/>
        </w:rPr>
        <w:t xml:space="preserve">)</w:t>
      </w:r>
      <w:r>
        <w:br/>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(a)</w:t>
      </w:r>
      <w:r>
        <w:br/>
      </w:r>
      <w:r>
        <w:rPr>
          <w:rStyle w:val="NormalTok"/>
        </w:rPr>
        <w:t xml:space="preserve">    c </w:t>
      </w:r>
      <w:r>
        <w:rPr>
          <w:rStyle w:val="OperatorTok"/>
        </w:rPr>
        <w:t xml:space="preserve">=</w:t>
      </w:r>
      <w:r>
        <w:rPr>
          <w:rStyle w:val="NormalTok"/>
        </w:rPr>
        <w:t xml:space="preserve"> xor(a, b, n)</w:t>
      </w:r>
      <w:r>
        <w:br/>
      </w:r>
      <w:r>
        <w:rPr>
          <w:rStyle w:val="NormalTok"/>
        </w:rPr>
        <w:t xml:space="preserve">    </w:t>
      </w:r>
      <w:r>
        <w:rPr>
          <w:rStyle w:val="BuiltInTok"/>
        </w:rPr>
        <w:t xml:space="preserve">print</w:t>
      </w:r>
      <w:r>
        <w:rPr>
          <w:rStyle w:val="NormalTok"/>
        </w:rPr>
        <w:t xml:space="preserve">(c)</w:t>
      </w:r>
    </w:p>
    <w:bookmarkEnd w:id="30"/>
    <w:bookmarkStart w:id="31"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1"/>
        </w:numPr>
        <w:pStyle w:val="Compact"/>
      </w:pPr>
      <w:r>
        <w:t xml:space="preserve">Поясните смысл однократного гаммирования.</w:t>
      </w:r>
    </w:p>
    <w:p>
      <w:pPr>
        <w:pStyle w:val="FirstParagraph"/>
      </w:pPr>
      <w:r>
        <w:t xml:space="preserve">Однократное гаммирование - метод ширфрования, гаммирующий каждый символ исходного текста с соответствующим символом ключа ровно один раз.</w:t>
      </w:r>
    </w:p>
    <w:p>
      <w:pPr>
        <w:numPr>
          <w:ilvl w:val="0"/>
          <w:numId w:val="1002"/>
        </w:numPr>
        <w:pStyle w:val="Compact"/>
      </w:pPr>
      <w:r>
        <w:t xml:space="preserve">Перечислите недостатки однократного гаммирования.</w:t>
      </w:r>
    </w:p>
    <w:p>
      <w:pPr>
        <w:numPr>
          <w:ilvl w:val="0"/>
          <w:numId w:val="1003"/>
        </w:numPr>
        <w:pStyle w:val="Compact"/>
      </w:pPr>
      <w:r>
        <w:t xml:space="preserve">Безопасность шифра целиком и полностью построена на безопасности сгенерированного ключа.</w:t>
      </w:r>
    </w:p>
    <w:p>
      <w:pPr>
        <w:numPr>
          <w:ilvl w:val="0"/>
          <w:numId w:val="1003"/>
        </w:numPr>
        <w:pStyle w:val="Compact"/>
      </w:pPr>
      <w:r>
        <w:t xml:space="preserve">Уязвимость к атакам по известному открытому тексту.</w:t>
      </w:r>
    </w:p>
    <w:p>
      <w:pPr>
        <w:numPr>
          <w:ilvl w:val="0"/>
          <w:numId w:val="1003"/>
        </w:numPr>
        <w:pStyle w:val="Compact"/>
      </w:pPr>
      <w:r>
        <w:t xml:space="preserve">Использование одного и того же ключа для разных сообщений позволяет атакующему без труда получить ключ.</w:t>
      </w:r>
    </w:p>
    <w:p>
      <w:pPr>
        <w:numPr>
          <w:ilvl w:val="0"/>
          <w:numId w:val="1004"/>
        </w:numPr>
        <w:pStyle w:val="Compact"/>
      </w:pPr>
      <w:r>
        <w:t xml:space="preserve">Перечислите преимущества однократного гаммирования.</w:t>
      </w:r>
    </w:p>
    <w:p>
      <w:pPr>
        <w:numPr>
          <w:ilvl w:val="0"/>
          <w:numId w:val="1005"/>
        </w:numPr>
        <w:pStyle w:val="Compact"/>
      </w:pPr>
      <w:r>
        <w:t xml:space="preserve">Высокая криптостойкость при адекватной генерации ключа.</w:t>
      </w:r>
    </w:p>
    <w:p>
      <w:pPr>
        <w:numPr>
          <w:ilvl w:val="0"/>
          <w:numId w:val="1005"/>
        </w:numPr>
        <w:pStyle w:val="Compact"/>
      </w:pPr>
      <w:r>
        <w:t xml:space="preserve">Простота реализации алгоритма.</w:t>
      </w:r>
    </w:p>
    <w:p>
      <w:pPr>
        <w:numPr>
          <w:ilvl w:val="0"/>
          <w:numId w:val="1006"/>
        </w:numPr>
        <w:pStyle w:val="Compact"/>
      </w:pPr>
      <w:r>
        <w:t xml:space="preserve">Почему длина открытого текста должна совпадать с длиной ключа?</w:t>
      </w:r>
    </w:p>
    <w:p>
      <w:pPr>
        <w:pStyle w:val="FirstParagraph"/>
      </w:pPr>
      <w:r>
        <w:t xml:space="preserve">Каждый символ открытого текста гаммируется с соответствующим символом ключа. Ключ может быть длиннее открытого текста (тогда текст будет закодирован частью ключа) либо короче (тогда ключ необходимо будет повторить до соответствия длите текста), но каждому символу исходного текста должен быть в соответствие символ ключа.</w:t>
      </w:r>
    </w:p>
    <w:p>
      <w:pPr>
        <w:numPr>
          <w:ilvl w:val="0"/>
          <w:numId w:val="1007"/>
        </w:numPr>
        <w:pStyle w:val="Compact"/>
      </w:pPr>
      <w:r>
        <w:t xml:space="preserve">Какая операция используется в режиме однократного гаммирования, назовите её особенности?</w:t>
      </w:r>
    </w:p>
    <w:p>
      <w:pPr>
        <w:pStyle w:val="FirstParagraph"/>
      </w:pPr>
      <w:r>
        <w:t xml:space="preserve">Однократное гаммирование использует XOR, сравнивающу. двоичные значения символов открытого текста и ключа для получения шифротекста. Если символы разнятся между собой (0 и 1, 1 и 0), то битом шифротекста становится 1, иначе - 0.</w:t>
      </w:r>
    </w:p>
    <w:p>
      <w:pPr>
        <w:numPr>
          <w:ilvl w:val="0"/>
          <w:numId w:val="1008"/>
        </w:numPr>
        <w:pStyle w:val="Compact"/>
      </w:pPr>
      <w:r>
        <w:t xml:space="preserve">Как по открытому тексту и ключу получить шифротекст?</w:t>
      </w:r>
    </w:p>
    <w:p>
      <w:pPr>
        <w:pStyle w:val="FirstParagraph"/>
      </w:pPr>
      <w:r>
        <w:t xml:space="preserve">Каждый символ открытого текста гаммируется с соответствующим символом ключа с использованием XOR.</w:t>
      </w:r>
    </w:p>
    <w:p>
      <w:pPr>
        <w:numPr>
          <w:ilvl w:val="0"/>
          <w:numId w:val="1009"/>
        </w:numPr>
        <w:pStyle w:val="Compact"/>
      </w:pPr>
      <w:r>
        <w:t xml:space="preserve">Как по открытому тексту и шифротексту получить ключ?</w:t>
      </w:r>
    </w:p>
    <w:p>
      <w:pPr>
        <w:pStyle w:val="FirstParagraph"/>
      </w:pPr>
      <w:r>
        <w:t xml:space="preserve">Предположим, что у нас есть часть открытого текста: мы знаем, что некоторая комбинация символов встречается в открытом тексте, но не знаем, где именно.</w:t>
      </w:r>
      <w:r>
        <w:t xml:space="preserve"> </w:t>
      </w:r>
      <w:r>
        <w:t xml:space="preserve">Повторим эту комбинацию символов до тех пор, пока она не будет соответствовать длине шифротекста. При выполнении операции XOR с зашифрованным текстом и повторяющейся известной строкой, если известная нам строка длиннее изначально использованного ключа, мы получим повторяющуюся строку ключа, равную длине известной нам комбинации символов, в сообщении, расшифрованном с помощью зацикленной части известного открытого текста. Продлив эту строку до соответствия длине текста, получаем использованный ключ.</w:t>
      </w:r>
    </w:p>
    <w:p>
      <w:pPr>
        <w:numPr>
          <w:ilvl w:val="0"/>
          <w:numId w:val="1010"/>
        </w:numPr>
        <w:pStyle w:val="Compact"/>
      </w:pPr>
      <w:r>
        <w:t xml:space="preserve">В чем заключаются необходимые и достаточные условия абсолютной стойкости шифра</w:t>
      </w:r>
    </w:p>
    <w:p>
      <w:pPr>
        <w:numPr>
          <w:ilvl w:val="0"/>
          <w:numId w:val="1011"/>
        </w:numPr>
        <w:pStyle w:val="Compact"/>
      </w:pPr>
      <w:r>
        <w:t xml:space="preserve">Ключи должны быть случайными, сгенерированными надежно и одноразово используемыми.</w:t>
      </w:r>
    </w:p>
    <w:p>
      <w:pPr>
        <w:numPr>
          <w:ilvl w:val="0"/>
          <w:numId w:val="1011"/>
        </w:numPr>
        <w:pStyle w:val="Compact"/>
      </w:pPr>
      <w:r>
        <w:t xml:space="preserve">Длина ключа не меньше длины открытого текста, иначе шифр крайне уязвим к атаке по известному открытому тексту (ключ повторяется).</w:t>
      </w:r>
    </w:p>
    <w:p>
      <w:pPr>
        <w:numPr>
          <w:ilvl w:val="0"/>
          <w:numId w:val="1011"/>
        </w:numPr>
        <w:pStyle w:val="Compact"/>
      </w:pPr>
      <w:r>
        <w:t xml:space="preserve">Используется нестандартная кодировка, усложняющая расшифровку сообщения автоматическими анализаторами вроде xortool.</w:t>
      </w:r>
    </w:p>
    <w:p>
      <w:pPr>
        <w:numPr>
          <w:ilvl w:val="0"/>
          <w:numId w:val="1011"/>
        </w:numPr>
        <w:pStyle w:val="Compact"/>
      </w:pPr>
      <w:r>
        <w:t xml:space="preserve">Ключи хранятся и передаются надежным способом.</w:t>
      </w:r>
    </w:p>
    <w:bookmarkEnd w:id="31"/>
    <w:bookmarkStart w:id="32" w:name="выводы"/>
    <w:p>
      <w:pPr>
        <w:pStyle w:val="Heading1"/>
      </w:pPr>
      <w:r>
        <w:rPr>
          <w:rStyle w:val="SectionNumber"/>
        </w:rPr>
        <w:t xml:space="preserve">5</w:t>
      </w:r>
      <w:r>
        <w:tab/>
      </w:r>
      <w:r>
        <w:t xml:space="preserve">Выводы</w:t>
      </w:r>
    </w:p>
    <w:p>
      <w:pPr>
        <w:pStyle w:val="FirstParagraph"/>
      </w:pPr>
      <w:r>
        <w:t xml:space="preserve">Было освоено на практике применение режима однократного гаммирования, написана программа, переводящая строки из шестнадцатиричного формата в двочиный и проводящая между ними XOR-операцию посимвольно.</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Татьяна Александровна Буллер</dc:creator>
  <dc:language>ru-RU</dc:language>
  <cp:keywords/>
  <dcterms:created xsi:type="dcterms:W3CDTF">2025-02-16T08:52:40Z</dcterms:created>
  <dcterms:modified xsi:type="dcterms:W3CDTF">2025-02-16T08:52:40Z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False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IBM Plex Serif</vt:lpwstr>
  </property>
  <property fmtid="{D5CDD505-2E9C-101B-9397-08002B2CF9AE}" pid="47" name="mainfontoptions">
    <vt:lpwstr>Ligatures=Common,Ligatures=TeX,Scale=0.94</vt:lpwstr>
  </property>
  <property fmtid="{D5CDD505-2E9C-101B-9397-08002B2CF9AE}" pid="48" name="mathfont">
    <vt:lpwstr>STIX Two Math</vt:lpwstr>
  </property>
  <property fmtid="{D5CDD505-2E9C-101B-9397-08002B2CF9AE}" pid="49" name="mathfontoptions">
    <vt:lpwstr/>
  </property>
  <property fmtid="{D5CDD505-2E9C-101B-9397-08002B2CF9AE}" pid="50" name="monofont">
    <vt:lpwstr>IBM Plex Mono</vt:lpwstr>
  </property>
  <property fmtid="{D5CDD505-2E9C-101B-9397-08002B2CF9AE}" pid="51" name="monofontoptions">
    <vt:lpwstr>Scale=MatchLowercase,Scale=0.94,FakeStretch=0.9</vt:lpwstr>
  </property>
  <property fmtid="{D5CDD505-2E9C-101B-9397-08002B2CF9AE}" pid="52" name="nameInLink">
    <vt:lpwstr>False</vt:lpwstr>
  </property>
  <property fmtid="{D5CDD505-2E9C-101B-9397-08002B2CF9AE}" pid="53" name="numberSections">
    <vt:lpwstr>False</vt:lpwstr>
  </property>
  <property fmtid="{D5CDD505-2E9C-101B-9397-08002B2CF9AE}" pid="54" name="pairDelim">
    <vt:lpwstr>, </vt:lpwstr>
  </property>
  <property fmtid="{D5CDD505-2E9C-101B-9397-08002B2CF9AE}" pid="55" name="papersize">
    <vt:lpwstr>a4</vt:lpwstr>
  </property>
  <property fmtid="{D5CDD505-2E9C-101B-9397-08002B2CF9AE}" pid="56" name="polyglossia-lang">
    <vt:lpwstr/>
  </property>
  <property fmtid="{D5CDD505-2E9C-101B-9397-08002B2CF9AE}" pid="57" name="polyglossia-otherlangs">
    <vt:lpwstr/>
  </property>
  <property fmtid="{D5CDD505-2E9C-101B-9397-08002B2CF9AE}" pid="58" name="rangeDelim">
    <vt:lpwstr>-</vt:lpwstr>
  </property>
  <property fmtid="{D5CDD505-2E9C-101B-9397-08002B2CF9AE}" pid="59" name="refDelim">
    <vt:lpwstr>, </vt:lpwstr>
  </property>
  <property fmtid="{D5CDD505-2E9C-101B-9397-08002B2CF9AE}" pid="60" name="refIndexTemplate">
    <vt:lpwstr>isuf</vt:lpwstr>
  </property>
  <property fmtid="{D5CDD505-2E9C-101B-9397-08002B2CF9AE}" pid="61" name="romanfont">
    <vt:lpwstr>IBM Plex Serif</vt:lpwstr>
  </property>
  <property fmtid="{D5CDD505-2E9C-101B-9397-08002B2CF9AE}" pid="62" name="romanfontoptions">
    <vt:lpwstr>Ligatures=Common,Ligatures=TeX,Scale=0.94</vt:lpwstr>
  </property>
  <property fmtid="{D5CDD505-2E9C-101B-9397-08002B2CF9AE}" pid="63" name="sansfont">
    <vt:lpwstr>IBM Plex Sans</vt:lpwstr>
  </property>
  <property fmtid="{D5CDD505-2E9C-101B-9397-08002B2CF9AE}" pid="64" name="sansfontoptions">
    <vt:lpwstr>Ligatures=Common,Ligatures=TeX,Scale=MatchLowercase,Scale=0.94</vt:lpwstr>
  </property>
  <property fmtid="{D5CDD505-2E9C-101B-9397-08002B2CF9AE}" pid="65" name="secHeaderDelim">
    <vt:lpwstr> </vt:lpwstr>
  </property>
  <property fmtid="{D5CDD505-2E9C-101B-9397-08002B2CF9AE}" pid="66" name="secHeaderTemplate">
    <vt:lpwstr>isecHeaderDelim[n]t</vt:lpwstr>
  </property>
  <property fmtid="{D5CDD505-2E9C-101B-9397-08002B2CF9AE}" pid="67" name="secLabels">
    <vt:lpwstr>arabic</vt:lpwstr>
  </property>
  <property fmtid="{D5CDD505-2E9C-101B-9397-08002B2CF9AE}" pid="68" name="secPrefix">
    <vt:lpwstr/>
  </property>
  <property fmtid="{D5CDD505-2E9C-101B-9397-08002B2CF9AE}" pid="69" name="secPrefixTemplate">
    <vt:lpwstr>p i</vt:lpwstr>
  </property>
  <property fmtid="{D5CDD505-2E9C-101B-9397-08002B2CF9AE}" pid="70" name="sectionsDepth">
    <vt:lpwstr>0</vt:lpwstr>
  </property>
  <property fmtid="{D5CDD505-2E9C-101B-9397-08002B2CF9AE}" pid="71" name="subfigGrid">
    <vt:lpwstr>False</vt:lpwstr>
  </property>
  <property fmtid="{D5CDD505-2E9C-101B-9397-08002B2CF9AE}" pid="72" name="subfigLabels">
    <vt:lpwstr>alpha a</vt:lpwstr>
  </property>
  <property fmtid="{D5CDD505-2E9C-101B-9397-08002B2CF9AE}" pid="73" name="subfigureChildTemplate">
    <vt:lpwstr>i</vt:lpwstr>
  </property>
  <property fmtid="{D5CDD505-2E9C-101B-9397-08002B2CF9AE}" pid="74" name="subfigureRefIndexTemplate">
    <vt:lpwstr>isuf (s)</vt:lpwstr>
  </property>
  <property fmtid="{D5CDD505-2E9C-101B-9397-08002B2CF9AE}" pid="75" name="subfigureTemplate">
    <vt:lpwstr>figureTitle ititleDelim t. ccs</vt:lpwstr>
  </property>
  <property fmtid="{D5CDD505-2E9C-101B-9397-08002B2CF9AE}" pid="76" name="subtitle">
    <vt:lpwstr>Элементы криптографии. Однократное гаммирование</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Таблица</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tleDelim">
    <vt:lpwstr>:</vt:lpwstr>
  </property>
  <property fmtid="{D5CDD505-2E9C-101B-9397-08002B2CF9AE}" pid="84" name="toc">
    <vt:lpwstr>True</vt:lpwstr>
  </property>
  <property fmtid="{D5CDD505-2E9C-101B-9397-08002B2CF9AE}" pid="85" name="toc-depth">
    <vt:lpwstr>2</vt:lpwstr>
  </property>
  <property fmtid="{D5CDD505-2E9C-101B-9397-08002B2CF9AE}" pid="86" name="toc-title">
    <vt:lpwstr>Содержание</vt:lpwstr>
  </property>
</Properties>
</file>