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Буллер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определение-кодировки-шифротекст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Определение кодировки шифротекста</w:t>
      </w:r>
    </w:p>
    <w:p>
      <w:pPr>
        <w:pStyle w:val="FirstParagraph"/>
      </w:pPr>
      <w:r>
        <w:t xml:space="preserve">Сообщение</w:t>
      </w:r>
      <w:r>
        <w:t xml:space="preserve"> </w:t>
      </w:r>
      <w:r>
        <w:t xml:space="preserve">“</w:t>
      </w:r>
      <w:r>
        <w:t xml:space="preserve">D8 F2 E8 F0 EB E8 F6 20 2D 20 C2 FB 20 C3 E5 F0 EE E9 21 21</w:t>
      </w:r>
      <w:r>
        <w:t xml:space="preserve">”</w:t>
      </w:r>
      <w:r>
        <w:t xml:space="preserve"> </w:t>
      </w:r>
      <w:r>
        <w:t xml:space="preserve">написано на русском языке, однако при переводе его из hex в текст стандартных кодировок ASCII/UTF-8 результат не совпадал с тем, какой был задан условием задания. Путем перебора кодировок было выяснено, что сообщение было написано в кодировке Windows-1251.</w:t>
      </w:r>
    </w:p>
    <w:p>
      <w:pPr>
        <w:pStyle w:val="CaptionedFigure"/>
      </w:pPr>
      <w:bookmarkStart w:id="22" w:name="fig:001"/>
      <w:r>
        <w:drawing>
          <wp:inline>
            <wp:extent cx="5334000" cy="3747247"/>
            <wp:effectExtent b="0" l="0" r="0" t="0"/>
            <wp:docPr descr="Рис. 1: Кодировка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Кодировка файла</w:t>
      </w:r>
    </w:p>
    <w:bookmarkEnd w:id="23"/>
    <w:bookmarkStart w:id="28" w:name="X7bfcad30f0a2a95c1f1866e709c0409d8480e2c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Программа дешифрования по известному открытому тексту</w:t>
      </w:r>
    </w:p>
    <w:p>
      <w:pPr>
        <w:pStyle w:val="FirstParagraph"/>
      </w:pPr>
      <w:r>
        <w:t xml:space="preserve">Далее необходимо было написать код, с помощью которого можно было бы дешифровать сообщение. Метод шифрования XOR крайне уязвим к атакам по известному открытому тексту, поэтому, зная сообщение на выходе, мы без труда можем получить ключ, которым нужно было зашифровать строку, чтобы его получить. Для этого нужно обернуть операцию.</w:t>
      </w:r>
      <w:r>
        <w:t xml:space="preserve"> </w:t>
      </w:r>
      <w:r>
        <w:t xml:space="preserve">Переведем известные нам строки шифра и открытого текста (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в кодировке Windows-1251) в hex. Для того, чтобы далее провести с ними операции XOR, нужно перевести эти строки далее в бинарный формат. После сравним строки посимвольно и запишем результат: если символ в позиции n строки А совпадает с символом в той же позиции в строке Б, то в результат дописывается 0, иначе - 1. Необходимо отметить, что для корректной работы кода и получения полного ключа строки должны совпадать по длине. В случае, если какая-то из них короче другой, она повторяется до того, как длины совпадут.</w:t>
      </w:r>
    </w:p>
    <w:p>
      <w:pPr>
        <w:pStyle w:val="CaptionedFigure"/>
      </w:pPr>
      <w:bookmarkStart w:id="25" w:name="fig:002"/>
      <w:r>
        <w:drawing>
          <wp:inline>
            <wp:extent cx="5334000" cy="4442113"/>
            <wp:effectExtent b="0" l="0" r="0" t="0"/>
            <wp:docPr descr="Рис. 2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Код программы</w:t>
      </w:r>
    </w:p>
    <w:p>
      <w:pPr>
        <w:pStyle w:val="BodyText"/>
      </w:pPr>
      <w:r>
        <w:t xml:space="preserve">Программа выдает ключ в формате двоичного числа, который при необходимости далее можно перевести в шестнадцатиричный формат. Использовав полученный ключ вместо шифротекста, мы получим другой двоичный вывод. Переведя его в текст и расшифровав в кодировке Windows-1251 получим сообщение, ключ к которому и хотели найти, что говорит о том, что код сработал корректно.</w:t>
      </w:r>
    </w:p>
    <w:p>
      <w:pPr>
        <w:pStyle w:val="CaptionedFigure"/>
      </w:pPr>
      <w:bookmarkStart w:id="27" w:name="fig:003"/>
      <w:r>
        <w:drawing>
          <wp:inline>
            <wp:extent cx="5334000" cy="3535117"/>
            <wp:effectExtent b="0" l="0" r="0" t="0"/>
            <wp:docPr descr="Рис. 3: Расшифровка полученного с новым ключом сообще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Расшифровка полученного с новым ключом сообщения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Было освоено на практике применение режима однократного гаммирования, написана программа, переводящая строки из шестнадцатиричного формата в двочиный и проводящая между ними XOR-операцию посимвольно.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Татьяна Александровна Буллер</dc:creator>
  <dc:language>ru-RU</dc:language>
  <cp:keywords/>
  <dcterms:created xsi:type="dcterms:W3CDTF">2025-02-15T16:17:15Z</dcterms:created>
  <dcterms:modified xsi:type="dcterms:W3CDTF">2025-02-15T16:17:15Z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False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Элементы криптографии. Однократное гаммирование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