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Буллер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создания виртуальной машины и запуска веб-сервера.</w:t>
      </w:r>
    </w:p>
    <w:bookmarkEnd w:id="20"/>
    <w:bookmarkStart w:id="47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Установка DVWA в данной работе будет рассмотрена в комплексе с созданием машины Metasploitable. Metasploitable - намеренно уязвимая машина, содержащая внутри себя такие веб-приложения, как DVWA, WebDAV и Mutillidae. DVWA - намеренно уязвимое веб-приложение, написанное на PHP и MySQL.</w:t>
      </w:r>
      <w:r>
        <w:t xml:space="preserve"> </w:t>
      </w:r>
      <w:r>
        <w:t xml:space="preserve">Изначально Metasploitable создавался в расчете на совместимость с VMware, но VirtualBox также поддерживает формат виртуальных дисков .vmdk, с которого машина может быть запущена. Для этого добавим диск Metasploitable при выборе диска для машины.</w:t>
      </w:r>
    </w:p>
    <w:p>
      <w:pPr>
        <w:pStyle w:val="CaptionedFigure"/>
      </w:pPr>
      <w:bookmarkStart w:id="22" w:name="fig:001"/>
      <w:r>
        <w:drawing>
          <wp:inline>
            <wp:extent cx="5334000" cy="1706880"/>
            <wp:effectExtent b="0" l="0" r="0" t="0"/>
            <wp:docPr descr="Рис. 1: Добавление виртуального диск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Добавление виртуального диска</w:t>
      </w:r>
    </w:p>
    <w:p>
      <w:pPr>
        <w:pStyle w:val="CaptionedFigure"/>
      </w:pPr>
      <w:bookmarkStart w:id="24" w:name="fig:002"/>
      <w:r>
        <w:drawing>
          <wp:inline>
            <wp:extent cx="5334000" cy="3494689"/>
            <wp:effectExtent b="0" l="0" r="0" t="0"/>
            <wp:docPr descr="Рис. 2: Настройки диск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Настройки диска</w:t>
      </w:r>
    </w:p>
    <w:p>
      <w:pPr>
        <w:pStyle w:val="BodyText"/>
      </w:pPr>
      <w:r>
        <w:t xml:space="preserve">Metasploitable не предназначен для использования в качестве полностью рабочей машины, ресурсов ему оставим по минимуму: 2 CPU и 512 МБ оперативной памяти.</w:t>
      </w:r>
    </w:p>
    <w:p>
      <w:pPr>
        <w:pStyle w:val="CaptionedFigure"/>
      </w:pPr>
      <w:bookmarkStart w:id="26" w:name="fig:003"/>
      <w:r>
        <w:drawing>
          <wp:inline>
            <wp:extent cx="5334000" cy="1307810"/>
            <wp:effectExtent b="0" l="0" r="0" t="0"/>
            <wp:docPr descr="Рис. 3: Настройки ресурсов систем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Настройки ресурсов системы</w:t>
      </w:r>
    </w:p>
    <w:p>
      <w:pPr>
        <w:pStyle w:val="BodyText"/>
      </w:pPr>
      <w:r>
        <w:t xml:space="preserve">Данные о системе в данном случае придется настраивать вручную, так как файл образа не используется. Здесь выбираем имя, место хранения, тип ОС - Линукс, подтип - другой, версия - х64.</w:t>
      </w:r>
    </w:p>
    <w:p>
      <w:pPr>
        <w:pStyle w:val="CaptionedFigure"/>
      </w:pPr>
      <w:bookmarkStart w:id="28" w:name="fig:004"/>
      <w:r>
        <w:drawing>
          <wp:inline>
            <wp:extent cx="5334000" cy="2734614"/>
            <wp:effectExtent b="0" l="0" r="0" t="0"/>
            <wp:docPr descr="Рис. 4: Основные настрой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Основные настройки</w:t>
      </w:r>
    </w:p>
    <w:p>
      <w:pPr>
        <w:pStyle w:val="BodyText"/>
      </w:pPr>
      <w:r>
        <w:t xml:space="preserve">Для того, чтобы машины видели друг друга в локальной сети, подключим Metasploitable в тот же сегмент NAT, куда уже подключена основная виртуальная машина.</w:t>
      </w:r>
    </w:p>
    <w:p>
      <w:pPr>
        <w:pStyle w:val="CaptionedFigure"/>
      </w:pPr>
      <w:bookmarkStart w:id="30" w:name="fig:005"/>
      <w:r>
        <w:drawing>
          <wp:inline>
            <wp:extent cx="5334000" cy="2612866"/>
            <wp:effectExtent b="0" l="0" r="0" t="0"/>
            <wp:docPr descr="Рис. 5: Настройки сет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Настройки сети</w:t>
      </w:r>
    </w:p>
    <w:p>
      <w:pPr>
        <w:pStyle w:val="BodyText"/>
      </w:pPr>
      <w:r>
        <w:t xml:space="preserve">Машина запускается самостоятельно без дополнительных настроек и установки. Логин и пароль по умолчанию совпадают: msfadmin:msfadmin.</w:t>
      </w:r>
    </w:p>
    <w:p>
      <w:pPr>
        <w:pStyle w:val="CaptionedFigure"/>
      </w:pPr>
      <w:bookmarkStart w:id="32" w:name="fig:006"/>
      <w:r>
        <w:drawing>
          <wp:inline>
            <wp:extent cx="5024387" cy="2184934"/>
            <wp:effectExtent b="0" l="0" r="0" t="0"/>
            <wp:docPr descr="Рис. 6: Запуск Metasploitable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7" cy="218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Запуск Metasploitable</w:t>
      </w:r>
    </w:p>
    <w:p>
      <w:pPr>
        <w:pStyle w:val="BodyText"/>
      </w:pPr>
      <w:r>
        <w:t xml:space="preserve">Для проверки правильности настройки просмотрим адрес сетевого интерфейса машины (должен быть в сегменте 192.168.6.0/24) и попробуем пропинговать рабочую машину с адресом в той же сети 192.168.6.12. Пинг проходит, машины друг друга видят - можно продолжать работу.</w:t>
      </w:r>
    </w:p>
    <w:p>
      <w:pPr>
        <w:pStyle w:val="CaptionedFigure"/>
      </w:pPr>
      <w:bookmarkStart w:id="34" w:name="fig:007"/>
      <w:r>
        <w:drawing>
          <wp:inline>
            <wp:extent cx="4668252" cy="1260909"/>
            <wp:effectExtent b="0" l="0" r="0" t="0"/>
            <wp:docPr descr="Рис. 7: Сетевой интерфейс Metasploitable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126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Сетевой интерфейс Metasploitable</w:t>
      </w:r>
    </w:p>
    <w:p>
      <w:pPr>
        <w:pStyle w:val="CaptionedFigure"/>
      </w:pPr>
      <w:bookmarkStart w:id="36" w:name="fig:008"/>
      <w:r>
        <w:drawing>
          <wp:inline>
            <wp:extent cx="3946357" cy="539014"/>
            <wp:effectExtent b="0" l="0" r="0" t="0"/>
            <wp:docPr descr="Рис. 8: Пинг рабочей машин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57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Пинг рабочей машины</w:t>
      </w:r>
    </w:p>
    <w:p>
      <w:pPr>
        <w:pStyle w:val="BodyText"/>
      </w:pPr>
      <w:r>
        <w:t xml:space="preserve">На рабочей машине в адресную строку браузера введем адрес Metasploitable: 192.168.6.14. Попадаем на основную страницу, где видим предупреждение никогда не выводить эту машину в сети, которым не доверяем, контакты разработчиков и дефолтные логин и пароль; ниже - ссылки на сервисы, которые встроены в Metasploitable.</w:t>
      </w:r>
    </w:p>
    <w:p>
      <w:pPr>
        <w:pStyle w:val="CaptionedFigure"/>
      </w:pPr>
      <w:bookmarkStart w:id="38" w:name="fig:009"/>
      <w:r>
        <w:drawing>
          <wp:inline>
            <wp:extent cx="3696101" cy="2531444"/>
            <wp:effectExtent b="0" l="0" r="0" t="0"/>
            <wp:docPr descr="Рис. 9: Основная страница Metasploitable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53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Основная страница Metasploitable</w:t>
      </w:r>
    </w:p>
    <w:p>
      <w:pPr>
        <w:pStyle w:val="BodyText"/>
      </w:pPr>
      <w:r>
        <w:t xml:space="preserve">Перейдем на страницу DVWA. Там нас встречает простая форма логина, ниже - логин и пароль по умолчанию (admin:password).</w:t>
      </w:r>
    </w:p>
    <w:p>
      <w:pPr>
        <w:pStyle w:val="CaptionedFigure"/>
      </w:pPr>
      <w:bookmarkStart w:id="40" w:name="fig:010"/>
      <w:r>
        <w:drawing>
          <wp:inline>
            <wp:extent cx="3108960" cy="2906829"/>
            <wp:effectExtent b="0" l="0" r="0" t="0"/>
            <wp:docPr descr="Рис. 10: login.php DVWA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0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login.php DVWA</w:t>
      </w:r>
    </w:p>
    <w:p>
      <w:pPr>
        <w:pStyle w:val="BodyText"/>
      </w:pPr>
      <w:r>
        <w:t xml:space="preserve">Использовав эти данные, мы успешно входим в систему. На первой странице - дисклеймер, предупреждение и общие инструкции. В меню 4 части: основная информация, страницы уязвимостей разных типов, безопасность и информация о машине, выход из системы.</w:t>
      </w:r>
    </w:p>
    <w:p>
      <w:pPr>
        <w:pStyle w:val="CaptionedFigure"/>
      </w:pPr>
      <w:bookmarkStart w:id="42" w:name="fig:011"/>
      <w:r>
        <w:drawing>
          <wp:inline>
            <wp:extent cx="5334000" cy="3660426"/>
            <wp:effectExtent b="0" l="0" r="0" t="0"/>
            <wp:docPr descr="Рис. 11: Корневая страница DVWA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Корневая страница DVWA</w:t>
      </w:r>
    </w:p>
    <w:p>
      <w:pPr>
        <w:pStyle w:val="BodyText"/>
      </w:pPr>
      <w:r>
        <w:t xml:space="preserve">Типы уязвимостей будут рассмотрены по ходу работы над проектом далее. Интересно взглянуть на страницу безопасности системы: тут можно выбрать уровень</w:t>
      </w:r>
      <w:r>
        <w:t xml:space="preserve"> </w:t>
      </w:r>
      <w:r>
        <w:t xml:space="preserve">“</w:t>
      </w:r>
      <w:r>
        <w:t xml:space="preserve">сложности</w:t>
      </w:r>
      <w:r>
        <w:t xml:space="preserve">”</w:t>
      </w:r>
      <w:r>
        <w:t xml:space="preserve"> </w:t>
      </w:r>
      <w:r>
        <w:t xml:space="preserve">машины. По умолчанию - низкий, доступны также средний, высокий и</w:t>
      </w:r>
      <w:r>
        <w:t xml:space="preserve"> </w:t>
      </w:r>
      <w:r>
        <w:t xml:space="preserve">“</w:t>
      </w:r>
      <w:r>
        <w:t xml:space="preserve">невозможный</w:t>
      </w:r>
      <w:r>
        <w:t xml:space="preserve">”</w:t>
      </w:r>
      <w:r>
        <w:t xml:space="preserve">. Последний должен быть примером идеального написания кода.</w:t>
      </w:r>
    </w:p>
    <w:p>
      <w:pPr>
        <w:pStyle w:val="CaptionedFigure"/>
      </w:pPr>
      <w:bookmarkStart w:id="44" w:name="fig:012"/>
      <w:r>
        <w:drawing>
          <wp:inline>
            <wp:extent cx="5334000" cy="3093192"/>
            <wp:effectExtent b="0" l="0" r="0" t="0"/>
            <wp:docPr descr="Рис. 12: Настройки безопасност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Настройки безопасности</w:t>
      </w:r>
    </w:p>
    <w:p>
      <w:pPr>
        <w:pStyle w:val="BodyText"/>
      </w:pPr>
      <w:r>
        <w:t xml:space="preserve">Полезным для исследователя является также файл phpinfo, содержащий конфигурацию php и некоторые данные о системе.</w:t>
      </w:r>
    </w:p>
    <w:p>
      <w:pPr>
        <w:pStyle w:val="CaptionedFigure"/>
      </w:pPr>
      <w:bookmarkStart w:id="46" w:name="fig:013"/>
      <w:r>
        <w:drawing>
          <wp:inline>
            <wp:extent cx="4600875" cy="2541069"/>
            <wp:effectExtent b="0" l="0" r="0" t="0"/>
            <wp:docPr descr="Рис. 13: phpinfo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254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phpinfo</w:t>
      </w:r>
    </w:p>
    <w:p>
      <w:pPr>
        <w:pStyle w:val="BodyText"/>
      </w:pPr>
      <w:r>
        <w:t xml:space="preserve">DVWA можно запустить и не используя для этого дополнительную машину, на локальном хосте. Для этого необходимо будет скачать файлы конфигурации и запустить веб-сервер apache.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практические навыки создания виртуальной машины по виртуальному диску и запуска веб-сервера.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</dc:title>
  <dc:creator>Татьяна Александровна Буллер</dc:creator>
  <dc:language>ru-RU</dc:language>
  <cp:keywords/>
  <dcterms:created xsi:type="dcterms:W3CDTF">2025-02-20T08:47:39Z</dcterms:created>
  <dcterms:modified xsi:type="dcterms:W3CDTF">2025-02-20T08:47:39Z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False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Установка DVWA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