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и закрепление на практике знаний о базовых мерах обеспечения безопасности электронных устройств и основных ошибках пользователей.</w:t>
      </w:r>
    </w:p>
    <w:bookmarkEnd w:id="20"/>
    <w:bookmarkStart w:id="56" w:name="выполнение-контрольных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контрольных заданий</w:t>
      </w:r>
    </w:p>
    <w:bookmarkStart w:id="27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CaptionedFigure"/>
      </w:pPr>
      <w:bookmarkStart w:id="22" w:name="fig:001"/>
      <w:r>
        <w:drawing>
          <wp:inline>
            <wp:extent cx="5334000" cy="3356401"/>
            <wp:effectExtent b="0" l="0" r="0" t="0"/>
            <wp:docPr descr="Рис. 1: Задание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Зашифровать можно любой раздел диска, в том числе загрузочный, чем нередко пользуются злоумышленники.</w:t>
      </w:r>
    </w:p>
    <w:p>
      <w:pPr>
        <w:pStyle w:val="CaptionedFigure"/>
      </w:pPr>
      <w:bookmarkStart w:id="24" w:name="fig:002"/>
      <w:r>
        <w:drawing>
          <wp:inline>
            <wp:extent cx="5334000" cy="5461000"/>
            <wp:effectExtent b="0" l="0" r="0" t="0"/>
            <wp:docPr descr="Рис. 2: задание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Шифрование диска основано на симметричном шифровании с использованием постоянного ключа: пароля.</w:t>
      </w:r>
    </w:p>
    <w:p>
      <w:pPr>
        <w:pStyle w:val="CaptionedFigure"/>
      </w:pPr>
      <w:bookmarkStart w:id="26" w:name="fig:003"/>
      <w:r>
        <w:drawing>
          <wp:inline>
            <wp:extent cx="5334000" cy="4440155"/>
            <wp:effectExtent b="0" l="0" r="0" t="0"/>
            <wp:docPr descr="Рис. 3: Задание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Wireshark - инструмент анализа сетевого трафика, Disk Utility - утилита для работы с дисками, но не для их шифрования. Наиболее популярные инструменты для шифрования дисков - VeraCrypt и BitLocker.</w:t>
      </w:r>
    </w:p>
    <w:bookmarkEnd w:id="27"/>
    <w:bookmarkStart w:id="40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CaptionedFigure"/>
      </w:pPr>
      <w:bookmarkStart w:id="29" w:name="fig:004"/>
      <w:r>
        <w:drawing>
          <wp:inline>
            <wp:extent cx="5334000" cy="5455478"/>
            <wp:effectExtent b="0" l="0" r="0" t="0"/>
            <wp:docPr descr="Рис. 4: Задание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Пароли 1, 2 и 4 не содержат специальных символов и представляют собой достаточно предсказуемые фразы в одном регистре, что делает их уязвимыми даже к перебору без словаря. Наиболее безопасен из представленных третий пароль.</w:t>
      </w:r>
    </w:p>
    <w:p>
      <w:pPr>
        <w:pStyle w:val="CaptionedFigure"/>
      </w:pPr>
      <w:bookmarkStart w:id="31" w:name="fig:005"/>
      <w:r>
        <w:drawing>
          <wp:inline>
            <wp:extent cx="5334000" cy="6035842"/>
            <wp:effectExtent b="0" l="0" r="0" t="0"/>
            <wp:docPr descr="Рис. 5: Задание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Пароли должны храниться в специализированных приложениях, но не в местах, где к ним может получить доступ третье лицо.</w:t>
      </w:r>
    </w:p>
    <w:p>
      <w:pPr>
        <w:pStyle w:val="CaptionedFigure"/>
      </w:pPr>
      <w:bookmarkStart w:id="33" w:name="fig:006"/>
      <w:r>
        <w:drawing>
          <wp:inline>
            <wp:extent cx="5334000" cy="2336263"/>
            <wp:effectExtent b="0" l="0" r="0" t="0"/>
            <wp:docPr descr="Рис. 6: Задание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Капча -</w:t>
      </w:r>
      <w:r>
        <w:t xml:space="preserve"> </w:t>
      </w:r>
      <w:r>
        <w:t xml:space="preserve">“</w:t>
      </w:r>
      <w:r>
        <w:t xml:space="preserve">проверка на человека</w:t>
      </w:r>
      <w:r>
        <w:t xml:space="preserve">”</w:t>
      </w:r>
      <w:r>
        <w:t xml:space="preserve">, защищает от автоматизированных атак.</w:t>
      </w:r>
    </w:p>
    <w:p>
      <w:pPr>
        <w:pStyle w:val="CaptionedFigure"/>
      </w:pPr>
      <w:bookmarkStart w:id="35" w:name="fig:007"/>
      <w:r>
        <w:drawing>
          <wp:inline>
            <wp:extent cx="5334000" cy="3818659"/>
            <wp:effectExtent b="0" l="0" r="0" t="0"/>
            <wp:docPr descr="Рис. 7: Задание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Хэширование паролей применяется для шифрования паролей и усложнения получения доступа к учетным записям конкретных пользователей, если злоумышленник получил доступ к базе данных сервера.</w:t>
      </w:r>
    </w:p>
    <w:p>
      <w:pPr>
        <w:pStyle w:val="CaptionedFigure"/>
      </w:pPr>
      <w:bookmarkStart w:id="37" w:name="fig:008"/>
      <w:r>
        <w:drawing>
          <wp:inline>
            <wp:extent cx="5334000" cy="1914014"/>
            <wp:effectExtent b="0" l="0" r="0" t="0"/>
            <wp:docPr descr="Рис. 8: Задание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Задание 8</w:t>
      </w:r>
    </w:p>
    <w:p>
      <w:pPr>
        <w:pStyle w:val="CaptionedFigure"/>
      </w:pPr>
      <w:bookmarkStart w:id="39" w:name="fig:009"/>
      <w:r>
        <w:drawing>
          <wp:inline>
            <wp:extent cx="5334000" cy="4605916"/>
            <wp:effectExtent b="0" l="0" r="0" t="0"/>
            <wp:docPr descr="Рис. 9: Задание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Все перечисленное (как длинные/сложные пароли, так и регулярное их обновление, разные пароли на всех сайтах и капча) защитят пользователя в случае, если сервер подвергнется атаке перебором. Длинные пароли подобрать сложнее, регулярное обновление и разные пароли на сайтах позволяют избежать совпадения со слитыми базами, капча - убедиться, что войти пытается человек, а не брутфорс-скрипт.</w:t>
      </w:r>
    </w:p>
    <w:bookmarkEnd w:id="40"/>
    <w:bookmarkStart w:id="45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CaptionedFigure"/>
      </w:pPr>
      <w:bookmarkStart w:id="42" w:name="fig:010"/>
      <w:r>
        <w:drawing>
          <wp:inline>
            <wp:extent cx="5334000" cy="3215013"/>
            <wp:effectExtent b="0" l="0" r="0" t="0"/>
            <wp:docPr descr="Рис. 10: Задание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Фишинговыми являются 2 и 4 ссылки, так как сайт, под который они пытаются мимикрировать, является доменом не второго, а третьего уровня (основными являются соответственно wix.ru и ucoz.ru).</w:t>
      </w:r>
    </w:p>
    <w:p>
      <w:pPr>
        <w:pStyle w:val="CaptionedFigure"/>
      </w:pPr>
      <w:bookmarkStart w:id="44" w:name="fig:011"/>
      <w:r>
        <w:drawing>
          <wp:inline>
            <wp:extent cx="5334000" cy="3633536"/>
            <wp:effectExtent b="0" l="0" r="0" t="0"/>
            <wp:docPr descr="Рис. 11: Задание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Фишинговое письмо может прийти со знакомого адреса, если владелец аккаунта был взломан.</w:t>
      </w:r>
    </w:p>
    <w:bookmarkEnd w:id="45"/>
    <w:bookmarkStart w:id="50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CaptionedFigure"/>
      </w:pPr>
      <w:bookmarkStart w:id="47" w:name="fig:012"/>
      <w:r>
        <w:drawing>
          <wp:inline>
            <wp:extent cx="5334000" cy="5728693"/>
            <wp:effectExtent b="0" l="0" r="0" t="0"/>
            <wp:docPr descr="Рис. 12: Задание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Спуфингом называется подмена адреса. Атака перебора паролей - брутфорс, протоколов электронной почты имеется великое множество, точно как и методов предотвращения фишинга.</w:t>
      </w:r>
    </w:p>
    <w:p>
      <w:pPr>
        <w:pStyle w:val="CaptionedFigure"/>
      </w:pPr>
      <w:bookmarkStart w:id="49" w:name="fig:013"/>
      <w:r>
        <w:drawing>
          <wp:inline>
            <wp:extent cx="5334000" cy="3933538"/>
            <wp:effectExtent b="0" l="0" r="0" t="0"/>
            <wp:docPr descr="Рис. 13: Задание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Троян - вирус, маскирующийся под легитимную программу. Название идет от легенды о троянском коне, однако вирус вовсе не обязательно работает только с отдельной операционной системой или разработан греками.</w:t>
      </w:r>
    </w:p>
    <w:bookmarkEnd w:id="50"/>
    <w:bookmarkStart w:id="55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CaptionedFigure"/>
      </w:pPr>
      <w:bookmarkStart w:id="52" w:name="fig:014"/>
      <w:r>
        <w:drawing>
          <wp:inline>
            <wp:extent cx="5334000" cy="2808585"/>
            <wp:effectExtent b="0" l="0" r="0" t="0"/>
            <wp:docPr descr="Рис. 14: Задание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14: Задание 14</w:t>
      </w:r>
    </w:p>
    <w:p>
      <w:pPr>
        <w:pStyle w:val="CaptionedFigure"/>
      </w:pPr>
      <w:bookmarkStart w:id="54" w:name="fig:015"/>
      <w:r>
        <w:drawing>
          <wp:inline>
            <wp:extent cx="5334000" cy="3103191"/>
            <wp:effectExtent b="0" l="0" r="0" t="0"/>
            <wp:docPr descr="Рис. 15: Задание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15: Задание 15</w:t>
      </w:r>
    </w:p>
    <w:p>
      <w:pPr>
        <w:pStyle w:val="BodyText"/>
      </w:pPr>
      <w:r>
        <w:t xml:space="preserve">Суть сквозного шифрования состоит в том, что сообщение не расшифровывается на сервере и недоступно в открытом виде никому, кроме отправителя и получателя.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и закреплены на практике знания о базовых мерах обеспечения безопасности электронных устройств и основных ошибках пользователей.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Этап 2</dc:title>
  <dc:creator>Татьяна Александровна Буллер</dc:creator>
  <dc:language>ru-RU</dc:language>
  <cp:keywords/>
  <dcterms:created xsi:type="dcterms:W3CDTF">2025-05-12T10:47:47Z</dcterms:created>
  <dcterms:modified xsi:type="dcterms:W3CDTF">2025-05-12T10:47:47Z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Защита ПК/телефона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