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Этап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Author"/>
      </w:pPr>
      <w:r>
        <w:t xml:space="preserve">Татьяна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Буллер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и закрепление на практике знаний о криптографических примитивах и областях их применения.</w:t>
      </w:r>
    </w:p>
    <w:bookmarkEnd w:id="20"/>
    <w:bookmarkStart w:id="57" w:name="выполнение-контрольных-заданий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контрольных заданий</w:t>
      </w:r>
    </w:p>
    <w:bookmarkStart w:id="31" w:name="введение-в-криптографию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Введение в криптографию</w:t>
      </w:r>
    </w:p>
    <w:p>
      <w:pPr>
        <w:pStyle w:val="CaptionedFigure"/>
      </w:pPr>
      <w:bookmarkStart w:id="22" w:name="fig:001"/>
      <w:r>
        <w:drawing>
          <wp:inline>
            <wp:extent cx="5334000" cy="2601568"/>
            <wp:effectExtent b="0" l="0" r="0" t="0"/>
            <wp:docPr descr="Рис. 1: 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В ассиметричных примитивах обе стороны имеют пару ключей: секретный (частный) и открытый. Секретный ключ не публикуется ни в коем случае, общий ключ стороны имеют в симметричных примитивах.</w:t>
      </w:r>
    </w:p>
    <w:p>
      <w:pPr>
        <w:pStyle w:val="CaptionedFigure"/>
      </w:pPr>
      <w:bookmarkStart w:id="24" w:name="fig:002"/>
      <w:r>
        <w:drawing>
          <wp:inline>
            <wp:extent cx="5334000" cy="3400495"/>
            <wp:effectExtent b="0" l="0" r="0" t="0"/>
            <wp:docPr descr="Рис. 2: Задание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Хорошая хэш-функция должна выдавать стойкие к коллизиям результаты, что, однако, не всегда соответствует правде на практике. На выходе, вне зависимости от объема входных данных, она дает фиксированное число бит, но не обеспечивает конфиденциальность данных.</w:t>
      </w:r>
    </w:p>
    <w:p>
      <w:pPr>
        <w:pStyle w:val="CaptionedFigure"/>
      </w:pPr>
      <w:bookmarkStart w:id="26" w:name="fig:003"/>
      <w:r>
        <w:drawing>
          <wp:inline>
            <wp:extent cx="5334000" cy="5508599"/>
            <wp:effectExtent b="0" l="0" r="0" t="0"/>
            <wp:docPr descr="Рис. 3: Задание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Из представленных в списке AES - алгоритм симметричного шифрования, SHA2 - хэш-функция. Остальные как раз являются алгоритмами, применимыми для создания цифровой подписи.</w:t>
      </w:r>
    </w:p>
    <w:p>
      <w:pPr>
        <w:pStyle w:val="CaptionedFigure"/>
      </w:pPr>
      <w:bookmarkStart w:id="28" w:name="fig:004"/>
      <w:r>
        <w:drawing>
          <wp:inline>
            <wp:extent cx="5334000" cy="4604197"/>
            <wp:effectExtent b="0" l="0" r="0" t="0"/>
            <wp:docPr descr="Рис. 4: Задание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Код аутентификации сообщения - симметричный примитив, представляющий собой общий для сторон секретный ключ.</w:t>
      </w:r>
    </w:p>
    <w:p>
      <w:pPr>
        <w:pStyle w:val="CaptionedFigure"/>
      </w:pPr>
      <w:bookmarkStart w:id="30" w:name="fig:005"/>
      <w:r>
        <w:drawing>
          <wp:inline>
            <wp:extent cx="5334000" cy="3982824"/>
            <wp:effectExtent b="0" l="0" r="0" t="0"/>
            <wp:docPr descr="Рис. 5: Задание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Алгоритм обмена ключами DH - ассиметричный алгоритм генерации общего секретного ключа, где стороны получают общик ключ из собственного секрета и открытого ключа на основе общего секрета, переданного другой стороной.</w:t>
      </w:r>
    </w:p>
    <w:bookmarkEnd w:id="31"/>
    <w:bookmarkStart w:id="42" w:name="цифровая-подпис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Цифровая подпись</w:t>
      </w:r>
    </w:p>
    <w:p>
      <w:pPr>
        <w:pStyle w:val="CaptionedFigure"/>
      </w:pPr>
      <w:bookmarkStart w:id="33" w:name="fig:006"/>
      <w:r>
        <w:drawing>
          <wp:inline>
            <wp:extent cx="5334000" cy="3931256"/>
            <wp:effectExtent b="0" l="0" r="0" t="0"/>
            <wp:docPr descr="Рис. 6: Задание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Протоколы ЭЦП относятся к протоколам с открытым ключом, где секретный ключ используется для непосредственно подписания документа, открытый - для проверки подлинности подписи.</w:t>
      </w:r>
    </w:p>
    <w:p>
      <w:pPr>
        <w:pStyle w:val="CaptionedFigure"/>
      </w:pPr>
      <w:bookmarkStart w:id="35" w:name="fig:007"/>
      <w:r>
        <w:drawing>
          <wp:inline>
            <wp:extent cx="5334000" cy="3581599"/>
            <wp:effectExtent b="0" l="0" r="0" t="0"/>
            <wp:docPr descr="Рис. 7: Задание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Алгоритм верификации требует на вход подпись, сообщение, которое было ею подписано, и открытый ключ.</w:t>
      </w:r>
    </w:p>
    <w:p>
      <w:pPr>
        <w:pStyle w:val="CaptionedFigure"/>
      </w:pPr>
      <w:bookmarkStart w:id="37" w:name="fig:008"/>
      <w:r>
        <w:drawing>
          <wp:inline>
            <wp:extent cx="5334000" cy="4380875"/>
            <wp:effectExtent b="0" l="0" r="0" t="0"/>
            <wp:docPr descr="Рис. 8: Задание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ЭЦП не обеспечивает конфиденциальности, скорее, наоборот - она обеспечивает подтверждение личности отправителя документа.</w:t>
      </w:r>
    </w:p>
    <w:p>
      <w:pPr>
        <w:pStyle w:val="CaptionedFigure"/>
      </w:pPr>
      <w:bookmarkStart w:id="39" w:name="fig:009"/>
      <w:r>
        <w:drawing>
          <wp:inline>
            <wp:extent cx="5334000" cy="2372863"/>
            <wp:effectExtent b="0" l="0" r="0" t="0"/>
            <wp:docPr descr="Рис. 9: Задание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Для отправки налоговой отчетности ЭЦП должна быть подтверждена, поэтому подойдет только усиленная квалифицированная подпись.</w:t>
      </w:r>
    </w:p>
    <w:p>
      <w:pPr>
        <w:pStyle w:val="CaptionedFigure"/>
      </w:pPr>
      <w:bookmarkStart w:id="41" w:name="fig:010"/>
      <w:r>
        <w:drawing>
          <wp:inline>
            <wp:extent cx="5334000" cy="2299298"/>
            <wp:effectExtent b="0" l="0" r="0" t="0"/>
            <wp:docPr descr="Рис. 10: Задание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Квалифицированный сертификат проверки можно получить только в специализированных сертификационных центрах. Минкомсвязи непосредственно этим не занимаются.</w:t>
      </w:r>
    </w:p>
    <w:bookmarkEnd w:id="42"/>
    <w:bookmarkStart w:id="49" w:name="электронные-платеж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Электронные платежи</w:t>
      </w:r>
    </w:p>
    <w:p>
      <w:pPr>
        <w:pStyle w:val="CaptionedFigure"/>
      </w:pPr>
      <w:bookmarkStart w:id="44" w:name="fig:011"/>
      <w:r>
        <w:drawing>
          <wp:inline>
            <wp:extent cx="5334000" cy="6724192"/>
            <wp:effectExtent b="0" l="0" r="0" t="0"/>
            <wp:docPr descr="Рис. 11: Задание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Платежными системы из перечисленных являются только МИР и мастеркард. Биткоин - криптовалюта, ПОС-терминал и банкомат - технические средства проведения банковских операций.</w:t>
      </w:r>
    </w:p>
    <w:p>
      <w:pPr>
        <w:pStyle w:val="CaptionedFigure"/>
      </w:pPr>
      <w:bookmarkStart w:id="46" w:name="fig:012"/>
      <w:r>
        <w:drawing>
          <wp:inline>
            <wp:extent cx="5334000" cy="4481777"/>
            <wp:effectExtent b="0" l="0" r="0" t="0"/>
            <wp:docPr descr="Рис. 12: Задание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1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Многофакторная аутентификация сочетает</w:t>
      </w:r>
      <w:r>
        <w:t xml:space="preserve"> </w:t>
      </w:r>
      <w:r>
        <w:t xml:space="preserve">“</w:t>
      </w:r>
      <w:r>
        <w:t xml:space="preserve">то, что я знаю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то, что у меня есть</w:t>
      </w:r>
      <w:r>
        <w:t xml:space="preserve">”</w:t>
      </w:r>
      <w:r>
        <w:t xml:space="preserve">. Комбинации ПИН + пароль и пароль + капча не удовлетворяют этому критерию.</w:t>
      </w:r>
    </w:p>
    <w:p>
      <w:pPr>
        <w:pStyle w:val="CaptionedFigure"/>
      </w:pPr>
      <w:bookmarkStart w:id="48" w:name="fig:013"/>
      <w:r>
        <w:drawing>
          <wp:inline>
            <wp:extent cx="5334000" cy="3114608"/>
            <wp:effectExtent b="0" l="0" r="0" t="0"/>
            <wp:docPr descr="Рис. 13: Задание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При онлайн-платежах используется многофакторная аутентификация перед банком-эмитентом, так как только он обладает данными о конкретном плательщике и обязан удостовериться, что платеж проводится легитимным клиентом.</w:t>
      </w:r>
    </w:p>
    <w:bookmarkEnd w:id="49"/>
    <w:bookmarkStart w:id="56" w:name="блокчейн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Блокчейн</w:t>
      </w:r>
    </w:p>
    <w:p>
      <w:pPr>
        <w:pStyle w:val="CaptionedFigure"/>
      </w:pPr>
      <w:bookmarkStart w:id="51" w:name="fig:014"/>
      <w:r>
        <w:drawing>
          <wp:inline>
            <wp:extent cx="5334000" cy="2884480"/>
            <wp:effectExtent b="0" l="0" r="0" t="0"/>
            <wp:docPr descr="Рис. 14: Задание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В доказательстве работы используется свойство сложности нахождения прообраза (нарочно не придумаешь), остальные не обеспечивают доказательства как такового.</w:t>
      </w:r>
    </w:p>
    <w:p>
      <w:pPr>
        <w:pStyle w:val="CaptionedFigure"/>
      </w:pPr>
      <w:bookmarkStart w:id="53" w:name="fig:015"/>
      <w:r>
        <w:drawing>
          <wp:inline>
            <wp:extent cx="5334000" cy="4351421"/>
            <wp:effectExtent b="0" l="0" r="0" t="0"/>
            <wp:docPr descr="Рис. 15: Задание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15: Задание 15</w:t>
      </w:r>
    </w:p>
    <w:p>
      <w:pPr>
        <w:pStyle w:val="CaptionedFigure"/>
      </w:pPr>
      <w:bookmarkStart w:id="55" w:name="fig:016"/>
      <w:r>
        <w:drawing>
          <wp:inline>
            <wp:extent cx="5334000" cy="2778721"/>
            <wp:effectExtent b="0" l="0" r="0" t="0"/>
            <wp:docPr descr="Рис. 16: Задание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Участники блокчейна хранят секретные ключи цифровой подписи. Обмен ключами и шифрование осуществляются независимо от них.</w:t>
      </w:r>
    </w:p>
    <w:bookmarkEnd w:id="56"/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и закреплены на практике знания о криптографических примитивах и областях их применения.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Этап 3</dc:title>
  <dc:creator>Татьяна Александровна Буллер</dc:creator>
  <dc:language>ru-RU</dc:language>
  <cp:keywords/>
  <dcterms:created xsi:type="dcterms:W3CDTF">2025-05-13T16:28:23Z</dcterms:created>
  <dcterms:modified xsi:type="dcterms:W3CDTF">2025-05-13T16:28:23Z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Криптография на практике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