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游ゴシック" w:hAnsi="游ゴシック" w:eastAsia="游ゴシック"/>
          <w:b/>
          <w:sz w:val="28"/>
        </w:rPr>
        <w:t>案件概要資料 B — 株式会社レグルス食品（中食・デリカ製造販売チェーン）</w:t>
      </w:r>
    </w:p>
    <w:p>
      <w:r>
        <w:rPr>
          <w:rFonts w:ascii="游ゴシック" w:hAnsi="游ゴシック" w:eastAsia="游ゴシック"/>
          <w:b/>
          <w:color w:val="C00000"/>
          <w:sz w:val="21"/>
        </w:rPr>
        <w:t>【研修用模擬資料】本資料は演習目的で作成された架空データです。登場する企業・個人・数値・地域・組織名は全て架空であり、実在の企業・人物・案件とは一切関係ありません。</w:t>
      </w:r>
    </w:p>
    <w:p>
      <w:r>
        <w:t>────────────────────────────────────────</w:t>
      </w:r>
    </w:p>
    <w:p>
      <w:r>
        <w:rPr>
          <w:rFonts w:ascii="游ゴシック" w:hAnsi="游ゴシック" w:eastAsia="游ゴシック"/>
          <w:b/>
          <w:sz w:val="24"/>
        </w:rPr>
        <w:t>受領情報</w:t>
      </w:r>
    </w:p>
    <w:p>
      <w:r>
        <w:rPr>
          <w:rFonts w:ascii="游ゴシック" w:hAnsi="游ゴシック" w:eastAsia="游ゴシック"/>
          <w:b w:val="0"/>
          <w:sz w:val="21"/>
        </w:rPr>
        <w:t>本資料は、20XX年X月に架空アドバイザリー合同会社（仲介）より当社投資推進部へ提供された案件概要書（Teaser）である。体裁は表形式とテキスト記述の混在型で8頁相当の中量文書。一部項目はフリー記述内に数値が埋め込まれており、抽出時に注意を要する。</w:t>
      </w:r>
    </w:p>
    <w:p>
      <w:r>
        <w:t>────────────────────────────────────────</w:t>
      </w:r>
    </w:p>
    <w:p>
      <w:r>
        <w:rPr>
          <w:rFonts w:ascii="游ゴシック" w:hAnsi="游ゴシック" w:eastAsia="游ゴシック"/>
          <w:b/>
          <w:sz w:val="24"/>
        </w:rPr>
        <w:t>1. 企業プロフィール</w:t>
      </w:r>
    </w:p>
    <w:p>
      <w:r>
        <w:rPr>
          <w:rFonts w:ascii="游ゴシック" w:hAnsi="游ゴシック" w:eastAsia="游ゴシック"/>
          <w:b w:val="0"/>
          <w:sz w:val="21"/>
        </w:rPr>
        <w:t>株式会社レグルス食品は、北関東を地盤とする中食・デリカ類の製造販売チェーンである。20XX年創業、現在は関東6県で52店舗を運営しており、売上規模は約165億円規模。設立当初は弁当中心だったが、近年は総菜・冷蔵デリカ・ECギフトへ領域を広げている。代表取締役社長は架空 健次（創業者・65歳）、副社長（CFO兼任）は架空 千恵子（56歳）が務める。</w:t>
      </w:r>
    </w:p>
    <w:p>
      <w:r>
        <w:rPr>
          <w:rFonts w:ascii="游ゴシック" w:hAnsi="游ゴシック" w:eastAsia="游ゴシック"/>
          <w:b w:val="0"/>
          <w:sz w:val="21"/>
        </w:rPr>
        <w:t>基本情報: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E4057"/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21"/>
              </w:rPr>
              <w:t>項目</w:t>
            </w:r>
          </w:p>
        </w:tc>
        <w:tc>
          <w:tcPr>
            <w:tcW w:type="dxa" w:w="4320"/>
            <w:shd w:fill="2E4057"/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21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会社名</w:t>
            </w:r>
          </w:p>
        </w:tc>
        <w:tc>
          <w:tcPr>
            <w:tcW w:type="dxa" w:w="4320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株式会社レグルス食品</w:t>
            </w:r>
          </w:p>
        </w:tc>
      </w:tr>
      <w:tr>
        <w:tc>
          <w:tcPr>
            <w:tcW w:type="dxa" w:w="4320"/>
            <w:shd w:fill="F5F5F5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本社</w:t>
            </w:r>
          </w:p>
        </w:tc>
        <w:tc>
          <w:tcPr>
            <w:tcW w:type="dxa" w:w="4320"/>
            <w:shd w:fill="F5F5F5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北関東Y市（群馬県想定）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資本金</w:t>
            </w:r>
          </w:p>
        </w:tc>
        <w:tc>
          <w:tcPr>
            <w:tcW w:type="dxa" w:w="4320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220百万円</w:t>
            </w:r>
          </w:p>
        </w:tc>
      </w:tr>
      <w:tr>
        <w:tc>
          <w:tcPr>
            <w:tcW w:type="dxa" w:w="4320"/>
            <w:shd w:fill="F5F5F5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設立</w:t>
            </w:r>
          </w:p>
        </w:tc>
        <w:tc>
          <w:tcPr>
            <w:tcW w:type="dxa" w:w="4320"/>
            <w:shd w:fill="F5F5F5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20XX年（約35年経過）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代表者</w:t>
            </w:r>
          </w:p>
        </w:tc>
        <w:tc>
          <w:tcPr>
            <w:tcW w:type="dxa" w:w="4320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架空 健次（創業者）</w:t>
            </w:r>
          </w:p>
        </w:tc>
      </w:tr>
      <w:tr>
        <w:tc>
          <w:tcPr>
            <w:tcW w:type="dxa" w:w="4320"/>
            <w:shd w:fill="F5F5F5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株主</w:t>
            </w:r>
          </w:p>
        </w:tc>
        <w:tc>
          <w:tcPr>
            <w:tcW w:type="dxa" w:w="4320"/>
            <w:shd w:fill="F5F5F5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創業家55%・地方銀行系PE 25%・経営陣15%・従業員持株会5%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上場</w:t>
            </w:r>
          </w:p>
        </w:tc>
        <w:tc>
          <w:tcPr>
            <w:tcW w:type="dxa" w:w="4320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非上場</w:t>
            </w:r>
          </w:p>
        </w:tc>
      </w:tr>
      <w:tr>
        <w:tc>
          <w:tcPr>
            <w:tcW w:type="dxa" w:w="4320"/>
            <w:shd w:fill="F5F5F5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監査法人</w:t>
            </w:r>
          </w:p>
        </w:tc>
        <w:tc>
          <w:tcPr>
            <w:tcW w:type="dxa" w:w="4320"/>
            <w:shd w:fill="F5F5F5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架空（準大手）</w:t>
            </w:r>
          </w:p>
        </w:tc>
      </w:tr>
    </w:tbl>
    <w:p>
      <w:r>
        <w:rPr>
          <w:rFonts w:ascii="游ゴシック" w:hAnsi="游ゴシック" w:eastAsia="游ゴシック"/>
          <w:b w:val="0"/>
          <w:sz w:val="21"/>
        </w:rPr>
        <w:t>沿革: 北関東の駅前弁当チェーンから出発し、20XX+10年頃に「出来たて＋ワンコイン」路線で地域No.2に。20XX+20年にセントラルキッチン方式を導入し、現在のデリカ中心へ転換。20XX+25年頃から冷蔵・チルド配送網を自社保有し、ECギフト領域に進出している。</w:t>
      </w:r>
    </w:p>
    <w:p>
      <w:r>
        <w:t>────────────────────────────────────────</w:t>
      </w:r>
    </w:p>
    <w:p>
      <w:r>
        <w:rPr>
          <w:rFonts w:ascii="游ゴシック" w:hAnsi="游ゴシック" w:eastAsia="游ゴシック"/>
          <w:b/>
          <w:sz w:val="24"/>
        </w:rPr>
        <w:t>2. 事業の収益性と成長性</w:t>
      </w:r>
    </w:p>
    <w:p>
      <w:r>
        <w:rPr>
          <w:rFonts w:ascii="游ゴシック" w:hAnsi="游ゴシック" w:eastAsia="游ゴシック"/>
          <w:b/>
          <w:sz w:val="22"/>
        </w:rPr>
        <w:t>2.1 3年推移</w:t>
      </w:r>
    </w:p>
    <w:p>
      <w:r>
        <w:rPr>
          <w:rFonts w:ascii="游ゴシック" w:hAnsi="游ゴシック" w:eastAsia="游ゴシック"/>
          <w:b w:val="0"/>
          <w:sz w:val="21"/>
        </w:rPr>
        <w:t>過去3年のPL主要項目は以下の通り。売上高は20X0期の152億円から20X2期の164.8億円まで年平均4.1%の成長率で推移している。営業利益率は中食業態標準（3〜5%レンジ）としてはやや高めの5%前後で安定しており、PBデリカ比率の拡大が効いている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E4057"/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21"/>
              </w:rPr>
              <w:t>項目</w:t>
            </w:r>
          </w:p>
        </w:tc>
        <w:tc>
          <w:tcPr>
            <w:tcW w:type="dxa" w:w="2160"/>
            <w:shd w:fill="2E4057"/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21"/>
              </w:rPr>
              <w:t>20X0</w:t>
            </w:r>
          </w:p>
        </w:tc>
        <w:tc>
          <w:tcPr>
            <w:tcW w:type="dxa" w:w="2160"/>
            <w:shd w:fill="2E4057"/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21"/>
              </w:rPr>
              <w:t>20X1</w:t>
            </w:r>
          </w:p>
        </w:tc>
        <w:tc>
          <w:tcPr>
            <w:tcW w:type="dxa" w:w="2160"/>
            <w:shd w:fill="2E4057"/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21"/>
              </w:rPr>
              <w:t>20X2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売上高（百万円）</w:t>
            </w:r>
          </w:p>
        </w:tc>
        <w:tc>
          <w:tcPr>
            <w:tcW w:type="dxa" w:w="2160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152,400</w:t>
            </w:r>
          </w:p>
        </w:tc>
        <w:tc>
          <w:tcPr>
            <w:tcW w:type="dxa" w:w="2160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159,200</w:t>
            </w:r>
          </w:p>
        </w:tc>
        <w:tc>
          <w:tcPr>
            <w:tcW w:type="dxa" w:w="2160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164,800</w:t>
            </w:r>
          </w:p>
        </w:tc>
      </w:tr>
      <w:tr>
        <w:tc>
          <w:tcPr>
            <w:tcW w:type="dxa" w:w="2160"/>
            <w:shd w:fill="F5F5F5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売上原価率</w:t>
            </w:r>
          </w:p>
        </w:tc>
        <w:tc>
          <w:tcPr>
            <w:tcW w:type="dxa" w:w="2160"/>
            <w:shd w:fill="F5F5F5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68.2%</w:t>
            </w:r>
          </w:p>
        </w:tc>
        <w:tc>
          <w:tcPr>
            <w:tcW w:type="dxa" w:w="2160"/>
            <w:shd w:fill="F5F5F5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67.8%</w:t>
            </w:r>
          </w:p>
        </w:tc>
        <w:tc>
          <w:tcPr>
            <w:tcW w:type="dxa" w:w="2160"/>
            <w:shd w:fill="F5F5F5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67.4%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販管費率</w:t>
            </w:r>
          </w:p>
        </w:tc>
        <w:tc>
          <w:tcPr>
            <w:tcW w:type="dxa" w:w="2160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26.8%</w:t>
            </w:r>
          </w:p>
        </w:tc>
        <w:tc>
          <w:tcPr>
            <w:tcW w:type="dxa" w:w="2160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26.9%</w:t>
            </w:r>
          </w:p>
        </w:tc>
        <w:tc>
          <w:tcPr>
            <w:tcW w:type="dxa" w:w="2160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27.1%</w:t>
            </w:r>
          </w:p>
        </w:tc>
      </w:tr>
      <w:tr>
        <w:tc>
          <w:tcPr>
            <w:tcW w:type="dxa" w:w="2160"/>
            <w:shd w:fill="F5F5F5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営業利益</w:t>
            </w:r>
          </w:p>
        </w:tc>
        <w:tc>
          <w:tcPr>
            <w:tcW w:type="dxa" w:w="2160"/>
            <w:shd w:fill="F5F5F5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7,620</w:t>
            </w:r>
          </w:p>
        </w:tc>
        <w:tc>
          <w:tcPr>
            <w:tcW w:type="dxa" w:w="2160"/>
            <w:shd w:fill="F5F5F5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8,440</w:t>
            </w:r>
          </w:p>
        </w:tc>
        <w:tc>
          <w:tcPr>
            <w:tcW w:type="dxa" w:w="2160"/>
            <w:shd w:fill="F5F5F5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9,050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営業利益率</w:t>
            </w:r>
          </w:p>
        </w:tc>
        <w:tc>
          <w:tcPr>
            <w:tcW w:type="dxa" w:w="2160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5.0%</w:t>
            </w:r>
          </w:p>
        </w:tc>
        <w:tc>
          <w:tcPr>
            <w:tcW w:type="dxa" w:w="2160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5.3%</w:t>
            </w:r>
          </w:p>
        </w:tc>
        <w:tc>
          <w:tcPr>
            <w:tcW w:type="dxa" w:w="2160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5.5%</w:t>
            </w:r>
          </w:p>
        </w:tc>
      </w:tr>
      <w:tr>
        <w:tc>
          <w:tcPr>
            <w:tcW w:type="dxa" w:w="2160"/>
            <w:shd w:fill="F5F5F5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経常利益</w:t>
            </w:r>
          </w:p>
        </w:tc>
        <w:tc>
          <w:tcPr>
            <w:tcW w:type="dxa" w:w="2160"/>
            <w:shd w:fill="F5F5F5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7,180</w:t>
            </w:r>
          </w:p>
        </w:tc>
        <w:tc>
          <w:tcPr>
            <w:tcW w:type="dxa" w:w="2160"/>
            <w:shd w:fill="F5F5F5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8,050</w:t>
            </w:r>
          </w:p>
        </w:tc>
        <w:tc>
          <w:tcPr>
            <w:tcW w:type="dxa" w:w="2160"/>
            <w:shd w:fill="F5F5F5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8,680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当期純利益</w:t>
            </w:r>
          </w:p>
        </w:tc>
        <w:tc>
          <w:tcPr>
            <w:tcW w:type="dxa" w:w="2160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5,030</w:t>
            </w:r>
          </w:p>
        </w:tc>
        <w:tc>
          <w:tcPr>
            <w:tcW w:type="dxa" w:w="2160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5,635</w:t>
            </w:r>
          </w:p>
        </w:tc>
        <w:tc>
          <w:tcPr>
            <w:tcW w:type="dxa" w:w="2160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6,076</w:t>
            </w:r>
          </w:p>
        </w:tc>
      </w:tr>
    </w:tbl>
    <w:p>
      <w:r>
        <w:rPr>
          <w:rFonts w:ascii="游ゴシック" w:hAnsi="游ゴシック" w:eastAsia="游ゴシック"/>
          <w:b/>
          <w:sz w:val="22"/>
        </w:rPr>
        <w:t>2.2 主要KPI（本文内に記載）</w:t>
      </w:r>
    </w:p>
    <w:p>
      <w:r>
        <w:rPr>
          <w:rFonts w:ascii="游ゴシック" w:hAnsi="游ゴシック" w:eastAsia="游ゴシック"/>
          <w:b w:val="0"/>
          <w:sz w:val="21"/>
        </w:rPr>
        <w:t>店舗数は20X0の49店→20X2の52店と緩やかに増加しており、既存店売上成長率は+2.2%/年で推移。ECギフト売上比率は20X0の4.8%から20X2には8.3%まで伸長している。客単価は1,180円前後で安定。PBデリカ比率は20X0の38%から20X2には46%まで拡大した。</w:t>
      </w:r>
    </w:p>
    <w:p>
      <w:r>
        <w:t>────────────────────────────────────────</w:t>
      </w:r>
    </w:p>
    <w:p>
      <w:r>
        <w:rPr>
          <w:rFonts w:ascii="游ゴシック" w:hAnsi="游ゴシック" w:eastAsia="游ゴシック"/>
          <w:b/>
          <w:sz w:val="24"/>
        </w:rPr>
        <w:t>3. 拠点・生産体制</w:t>
      </w:r>
    </w:p>
    <w:p>
      <w:r>
        <w:rPr>
          <w:rFonts w:ascii="游ゴシック" w:hAnsi="游ゴシック" w:eastAsia="游ゴシック"/>
          <w:b/>
          <w:sz w:val="22"/>
        </w:rPr>
        <w:t>3.1 店舗</w:t>
      </w:r>
    </w:p>
    <w:p>
      <w:r>
        <w:rPr>
          <w:rFonts w:ascii="游ゴシック" w:hAnsi="游ゴシック" w:eastAsia="游ゴシック"/>
          <w:b w:val="0"/>
          <w:sz w:val="21"/>
        </w:rPr>
        <w:t>関東6県に52店舗を展開。北関東3県（群馬・栃木・茨城）が売上の約62%を占める地盤エリアで、残りは埼玉・千葉・東京郊外。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4057"/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21"/>
              </w:rPr>
              <w:t>エリア</w:t>
            </w:r>
          </w:p>
        </w:tc>
        <w:tc>
          <w:tcPr>
            <w:tcW w:type="dxa" w:w="2880"/>
            <w:shd w:fill="2E4057"/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21"/>
              </w:rPr>
              <w:t>店舗数</w:t>
            </w:r>
          </w:p>
        </w:tc>
        <w:tc>
          <w:tcPr>
            <w:tcW w:type="dxa" w:w="2880"/>
            <w:shd w:fill="2E4057"/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21"/>
              </w:rPr>
              <w:t>売上構成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群馬</w:t>
            </w:r>
          </w:p>
        </w:tc>
        <w:tc>
          <w:tcPr>
            <w:tcW w:type="dxa" w:w="2880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16</w:t>
            </w:r>
          </w:p>
        </w:tc>
        <w:tc>
          <w:tcPr>
            <w:tcW w:type="dxa" w:w="2880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28.4%</w:t>
            </w:r>
          </w:p>
        </w:tc>
      </w:tr>
      <w:tr>
        <w:tc>
          <w:tcPr>
            <w:tcW w:type="dxa" w:w="2880"/>
            <w:shd w:fill="F5F5F5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栃木</w:t>
            </w:r>
          </w:p>
        </w:tc>
        <w:tc>
          <w:tcPr>
            <w:tcW w:type="dxa" w:w="2880"/>
            <w:shd w:fill="F5F5F5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11</w:t>
            </w:r>
          </w:p>
        </w:tc>
        <w:tc>
          <w:tcPr>
            <w:tcW w:type="dxa" w:w="2880"/>
            <w:shd w:fill="F5F5F5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18.2%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茨城</w:t>
            </w:r>
          </w:p>
        </w:tc>
        <w:tc>
          <w:tcPr>
            <w:tcW w:type="dxa" w:w="2880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9</w:t>
            </w:r>
          </w:p>
        </w:tc>
        <w:tc>
          <w:tcPr>
            <w:tcW w:type="dxa" w:w="2880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15.1%</w:t>
            </w:r>
          </w:p>
        </w:tc>
      </w:tr>
      <w:tr>
        <w:tc>
          <w:tcPr>
            <w:tcW w:type="dxa" w:w="2880"/>
            <w:shd w:fill="F5F5F5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埼玉</w:t>
            </w:r>
          </w:p>
        </w:tc>
        <w:tc>
          <w:tcPr>
            <w:tcW w:type="dxa" w:w="2880"/>
            <w:shd w:fill="F5F5F5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8</w:t>
            </w:r>
          </w:p>
        </w:tc>
        <w:tc>
          <w:tcPr>
            <w:tcW w:type="dxa" w:w="2880"/>
            <w:shd w:fill="F5F5F5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14.6%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千葉</w:t>
            </w:r>
          </w:p>
        </w:tc>
        <w:tc>
          <w:tcPr>
            <w:tcW w:type="dxa" w:w="2880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12.5%</w:t>
            </w:r>
          </w:p>
        </w:tc>
      </w:tr>
      <w:tr>
        <w:tc>
          <w:tcPr>
            <w:tcW w:type="dxa" w:w="2880"/>
            <w:shd w:fill="F5F5F5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東京郊外</w:t>
            </w:r>
          </w:p>
        </w:tc>
        <w:tc>
          <w:tcPr>
            <w:tcW w:type="dxa" w:w="2880"/>
            <w:shd w:fill="F5F5F5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3</w:t>
            </w:r>
          </w:p>
        </w:tc>
        <w:tc>
          <w:tcPr>
            <w:tcW w:type="dxa" w:w="2880"/>
            <w:shd w:fill="F5F5F5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11.2%</w:t>
            </w:r>
          </w:p>
        </w:tc>
      </w:tr>
    </w:tbl>
    <w:p>
      <w:r>
        <w:rPr>
          <w:rFonts w:ascii="游ゴシック" w:hAnsi="游ゴシック" w:eastAsia="游ゴシック"/>
          <w:b/>
          <w:sz w:val="22"/>
        </w:rPr>
        <w:t>3.2 セントラルキッチン</w:t>
      </w:r>
    </w:p>
    <w:p>
      <w:r>
        <w:rPr>
          <w:rFonts w:ascii="游ゴシック" w:hAnsi="游ゴシック" w:eastAsia="游ゴシック"/>
          <w:b w:val="0"/>
          <w:sz w:val="21"/>
        </w:rPr>
        <w:t>セントラルキッチン（CK）は群馬県Y市に1拠点集約されており、延床4,800坪。調理ライン12本、冷蔵・冷凍ピッキング設備、配送トラック28台を保有する。1日あたり最大12万食の製造能力。直近は稼働率78%程度。</w:t>
      </w:r>
    </w:p>
    <w:p>
      <w:r>
        <w:rPr>
          <w:rFonts w:ascii="游ゴシック" w:hAnsi="游ゴシック" w:eastAsia="游ゴシック"/>
          <w:b w:val="0"/>
          <w:sz w:val="21"/>
        </w:rPr>
        <w:t>CKは全店舗の基幹インフラで、仮に停止すると全店舗が24時間以内に欠品状態となる。このため、災害時BCPとして「外部OEM2社（架空：ハルカゼフーズ／ミナト食品工業）との協業製造協定」を締結している（過去2年で発動実績なし）。</w:t>
      </w:r>
    </w:p>
    <w:p>
      <w:r>
        <w:t>────────────────────────────────────────</w:t>
      </w:r>
    </w:p>
    <w:p>
      <w:r>
        <w:rPr>
          <w:rFonts w:ascii="游ゴシック" w:hAnsi="游ゴシック" w:eastAsia="游ゴシック"/>
          <w:b/>
          <w:sz w:val="24"/>
        </w:rPr>
        <w:t>4. 人員体制</w:t>
      </w:r>
    </w:p>
    <w:p>
      <w:r>
        <w:rPr>
          <w:rFonts w:ascii="游ゴシック" w:hAnsi="游ゴシック" w:eastAsia="游ゴシック"/>
          <w:b w:val="0"/>
          <w:sz w:val="21"/>
        </w:rPr>
        <w:t>役員・従業員構成は以下の通り（本文混在記述）:</w:t>
      </w:r>
    </w:p>
    <w:p>
      <w:r>
        <w:rPr>
          <w:rFonts w:ascii="游ゴシック" w:hAnsi="游ゴシック" w:eastAsia="游ゴシック"/>
          <w:b w:val="0"/>
          <w:sz w:val="21"/>
        </w:rPr>
        <w:t>正社員は約520名、内訳は本社管理80名・店舗運営280名・CK運営160名。契約社員は380名（主にCK勤務）。パートは1,080名（全店舗運営の中心）。平均勤続年数は正社員8.2年、パート4.6年。</w:t>
      </w:r>
    </w:p>
    <w:p>
      <w:r>
        <w:rPr>
          <w:rFonts w:ascii="游ゴシック" w:hAnsi="游ゴシック" w:eastAsia="游ゴシック"/>
          <w:b w:val="0"/>
          <w:sz w:val="21"/>
        </w:rPr>
        <w:t>役員構成:</w:t>
        <w:br/>
        <w:t>- 代表取締役社長: 架空 健次（創業者・65歳）</w:t>
        <w:br/>
        <w:t>- 副社長・CFO: 架空 千恵子（創業家・56歳）</w:t>
        <w:br/>
        <w:t>- 専務（営業本部）: 架空 成男</w:t>
        <w:br/>
        <w:t>- 常務（CK本部）: 架空 正文</w:t>
        <w:br/>
        <w:t>- 社外取締役2名（地方銀行系PE派遣1名・税理士1名）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E4057"/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21"/>
              </w:rPr>
              <w:t>区分</w:t>
            </w:r>
          </w:p>
        </w:tc>
        <w:tc>
          <w:tcPr>
            <w:tcW w:type="dxa" w:w="4320"/>
            <w:shd w:fill="2E4057"/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21"/>
              </w:rPr>
              <w:t>人数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正社員</w:t>
            </w:r>
          </w:p>
        </w:tc>
        <w:tc>
          <w:tcPr>
            <w:tcW w:type="dxa" w:w="4320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520</w:t>
            </w:r>
          </w:p>
        </w:tc>
      </w:tr>
      <w:tr>
        <w:tc>
          <w:tcPr>
            <w:tcW w:type="dxa" w:w="4320"/>
            <w:shd w:fill="F5F5F5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契約社員</w:t>
            </w:r>
          </w:p>
        </w:tc>
        <w:tc>
          <w:tcPr>
            <w:tcW w:type="dxa" w:w="4320"/>
            <w:shd w:fill="F5F5F5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380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パート</w:t>
            </w:r>
          </w:p>
        </w:tc>
        <w:tc>
          <w:tcPr>
            <w:tcW w:type="dxa" w:w="4320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1,080</w:t>
            </w:r>
          </w:p>
        </w:tc>
      </w:tr>
      <w:tr>
        <w:tc>
          <w:tcPr>
            <w:tcW w:type="dxa" w:w="4320"/>
            <w:shd w:fill="F5F5F5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合計</w:t>
            </w:r>
          </w:p>
        </w:tc>
        <w:tc>
          <w:tcPr>
            <w:tcW w:type="dxa" w:w="4320"/>
            <w:shd w:fill="F5F5F5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1,980</w:t>
            </w:r>
          </w:p>
        </w:tc>
      </w:tr>
    </w:tbl>
    <w:p>
      <w:r>
        <w:t>────────────────────────────────────────</w:t>
      </w:r>
    </w:p>
    <w:p>
      <w:r>
        <w:rPr>
          <w:rFonts w:ascii="游ゴシック" w:hAnsi="游ゴシック" w:eastAsia="游ゴシック"/>
          <w:b/>
          <w:sz w:val="24"/>
        </w:rPr>
        <w:t>5. リスク要因（フリー記述）</w:t>
      </w:r>
    </w:p>
    <w:p>
      <w:r>
        <w:rPr>
          <w:rFonts w:ascii="游ゴシック" w:hAnsi="游ゴシック" w:eastAsia="游ゴシック"/>
          <w:b w:val="0"/>
          <w:sz w:val="21"/>
        </w:rPr>
        <w:t>本案件の主要リスクとして、仲介資料本文には以下が記載されている。</w:t>
      </w:r>
    </w:p>
    <w:p>
      <w:r>
        <w:rPr>
          <w:rFonts w:ascii="游ゴシック" w:hAnsi="游ゴシック" w:eastAsia="游ゴシック"/>
          <w:b w:val="0"/>
          <w:sz w:val="21"/>
        </w:rPr>
        <w:t>5.1 不動産: 現行52店舗のうち、28店舗が10年長期契約で、うち8店舗が3年以内に更新期限を迎える。これらは主に駅前一等地のため、更新時の賃料改定（想定+8〜12%）が収益に影響する可能性がある。本件はDD段階で契約書レビュー必須。</w:t>
      </w:r>
    </w:p>
    <w:p>
      <w:r>
        <w:rPr>
          <w:rFonts w:ascii="游ゴシック" w:hAnsi="游ゴシック" w:eastAsia="游ゴシック"/>
          <w:b w:val="0"/>
          <w:sz w:val="21"/>
        </w:rPr>
        <w:t>5.2 仕入先集中: 生鮮・肉類・米・冷凍品の仕入は上位3社（架空ヒカリフード・架空サクラフード・架空ナギサリテール）で全体の58%を占める。集中度としては中食業態では標準的だが、いずれかの取引停止時の代替確保が課題。</w:t>
      </w:r>
    </w:p>
    <w:p>
      <w:r>
        <w:rPr>
          <w:rFonts w:ascii="游ゴシック" w:hAnsi="游ゴシック" w:eastAsia="游ゴシック"/>
          <w:b w:val="0"/>
          <w:sz w:val="21"/>
        </w:rPr>
        <w:t>5.3 人件費: CKおよび店舗で時給制雇用が中心のため、最低時給改定（直近+3.5%/年）が営業利益率を圧迫する構造。過去3年で人件費率は26.4%→27.1%へ上昇傾向にある。</w:t>
      </w:r>
    </w:p>
    <w:p>
      <w:r>
        <w:rPr>
          <w:rFonts w:ascii="游ゴシック" w:hAnsi="游ゴシック" w:eastAsia="游ゴシック"/>
          <w:b w:val="0"/>
          <w:sz w:val="21"/>
        </w:rPr>
        <w:t>5.4 CK集約リスク: CK1拠点集約のため、火災・停電・水害等での製造停止リスクあり。外部OEM2社との協業協定はあるが実績未証明。</w:t>
      </w:r>
    </w:p>
    <w:p>
      <w:r>
        <w:rPr>
          <w:rFonts w:ascii="游ゴシック" w:hAnsi="游ゴシック" w:eastAsia="游ゴシック"/>
          <w:b w:val="0"/>
          <w:sz w:val="21"/>
        </w:rPr>
        <w:t>5.5 後継者問題: 創業家社長が65歳で、明確な後継者未定。副社長CFOは創業家縁者だが経営承継は未定。</w:t>
      </w:r>
    </w:p>
    <w:p>
      <w:r>
        <w:t>────────────────────────────────────────</w:t>
      </w:r>
    </w:p>
    <w:p>
      <w:r>
        <w:rPr>
          <w:rFonts w:ascii="游ゴシック" w:hAnsi="游ゴシック" w:eastAsia="游ゴシック"/>
          <w:b/>
          <w:sz w:val="24"/>
        </w:rPr>
        <w:t>6. 取引条件と希望</w:t>
      </w:r>
    </w:p>
    <w:p>
      <w:r>
        <w:rPr>
          <w:rFonts w:ascii="游ゴシック" w:hAnsi="游ゴシック" w:eastAsia="游ゴシック"/>
          <w:b w:val="0"/>
          <w:sz w:val="21"/>
        </w:rPr>
        <w:t>売主側（創業家）は本案件について、事業承継を主目的とした過半数譲渡を希望している。資料本文には以下の条件が記載されている。</w:t>
      </w:r>
    </w:p>
    <w:p>
      <w:r>
        <w:rPr>
          <w:rFonts w:ascii="游ゴシック" w:hAnsi="游ゴシック" w:eastAsia="游ゴシック"/>
          <w:b w:val="0"/>
          <w:sz w:val="21"/>
        </w:rPr>
        <w:t>想定スキームは普通株式の51%以上取得。想定価格はEV 180〜220億円（EV/EBITDA 約10〜12倍）。DDは財務・法務・商務・人事・CK実地の5領域で8週間程度を想定。開示情報は過去3期PL/BS/CF、店舗別損益、CK原価計算書、主要取引先契約書（要NDA）。</w:t>
      </w:r>
    </w:p>
    <w:p>
      <w:r>
        <w:rPr>
          <w:rFonts w:ascii="游ゴシック" w:hAnsi="游ゴシック" w:eastAsia="游ゴシック"/>
          <w:b w:val="0"/>
          <w:sz w:val="21"/>
        </w:rPr>
        <w:t>希望買い手条件として、①地域雇用維持（特にCK従業員）、②創業家社長の退任後アドバイザリー契約（2年程度）、③PBデリカブランドの継続、が明記されている。</w:t>
      </w:r>
    </w:p>
    <w:p>
      <w:r>
        <w:rPr>
          <w:rFonts w:ascii="游ゴシック" w:hAnsi="游ゴシック" w:eastAsia="游ゴシック"/>
          <w:b w:val="0"/>
          <w:sz w:val="21"/>
        </w:rPr>
        <w:t>想定クロージングはNDA締結後 約4〜5ヶ月。</w:t>
      </w:r>
    </w:p>
    <w:p>
      <w:r>
        <w:t>────────────────────────────────────────</w:t>
      </w:r>
    </w:p>
    <w:p>
      <w:r>
        <w:rPr>
          <w:rFonts w:ascii="游ゴシック" w:hAnsi="游ゴシック" w:eastAsia="游ゴシック"/>
          <w:b w:val="0"/>
          <w:sz w:val="21"/>
        </w:rPr>
        <w:t>以上（8頁相当）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游ゴシック" w:hAnsi="游ゴシック" w:eastAsia="游ゴシック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