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游ゴシック" w:hAnsi="游ゴシック" w:eastAsia="游ゴシック"/>
          <w:b/>
          <w:sz w:val="28"/>
        </w:rPr>
        <w:t>新規投資候補ロングリスト — カストル小売 上期新規候補 5件（判定未実施）</w:t>
      </w:r>
    </w:p>
    <w:p>
      <w:r>
        <w:rPr>
          <w:rFonts w:ascii="游ゴシック" w:hAnsi="游ゴシック" w:eastAsia="游ゴシック"/>
          <w:b/>
          <w:color w:val="C00000"/>
          <w:sz w:val="21"/>
        </w:rPr>
        <w:t>【研修用模擬資料】本資料は演習目的で作成された架空データです。登場する企業・個人・数値・地域・組織名は全て架空であり、実在の企業・人物・案件とは一切関係ありません。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リスト概要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4320"/>
            <w:shd w:fill="2E4057"/>
          </w:tcPr>
          <w:p>
            <w:r/>
            <w:r>
              <w:rPr>
                <w:rFonts w:ascii="游ゴシック" w:hAnsi="游ゴシック" w:eastAsia="游ゴシック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プロジェクト名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カストル小売 上期新規リテイル候補ロングリスト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受領日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20XX年X月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仲介会社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複数（架空フロンティア等）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候補数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5社（判定未実施）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評価対象</w:t>
            </w:r>
          </w:p>
        </w:tc>
        <w:tc>
          <w:tcPr>
            <w:tcW w:type="dxa" w:w="4320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上期のリテイル投資候補</w:t>
            </w:r>
          </w:p>
        </w:tc>
      </w:tr>
      <w:tr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評価方針</w:t>
            </w:r>
          </w:p>
        </w:tc>
        <w:tc>
          <w:tcPr>
            <w:tcW w:type="dxa" w:w="4320"/>
            <w:shd w:fill="F5F5F5"/>
          </w:tcPr>
          <w:p>
            <w:r/>
            <w:r>
              <w:rPr>
                <w:rFonts w:ascii="游ゴシック" w:hAnsi="游ゴシック" w:eastAsia="游ゴシック"/>
                <w:b w:val="0"/>
                <w:sz w:val="21"/>
              </w:rPr>
              <w:t>CLAUDE.mdに定義された過去10件のスコアリングロジックを適用し、投資／要検討／見送りの3段階判定＋根拠を出力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1. 新規候補5件（基本データ）</w:t>
      </w:r>
    </w:p>
    <w:p>
      <w:pPr>
        <w:shd w:fill="EEEEEE"/>
      </w:pPr>
      <w:r>
        <w:rPr>
          <w:rFonts w:ascii="游ゴシック" w:hAnsi="游ゴシック" w:eastAsia="游ゴシック"/>
          <w:b w:val="0"/>
          <w:sz w:val="18"/>
        </w:rPr>
        <w:t># | 企業名 | 地域 | 売上(億円) | 従業員数 | 業種 | 利益率 | 投資判定 | 判定理由</w:t>
        <w:br/>
        <w:t>1 | タウル東食品 | 都市A | 62 | 136 | 食品SM | 6.0% | 未判定 | 評価依頼</w:t>
        <w:br/>
        <w:t>2 | ライラ雑貨 | 都市A | 48 | 105 | 生活雑貨 | 7.5% | 未判定 | 評価依頼</w:t>
        <w:br/>
        <w:t>3 | アクィラ調剤 | 都市B | 44 | 92 | ドラッグ | 5.3% | 未判定 | 評価依頼</w:t>
        <w:br/>
        <w:t>4 | コロンバ生活館 | 郊外 | 25 | 58 | 生活雑貨 | 8.2% | 未判定 | 評価依頼（小粒高収益・境界ケース）</w:t>
        <w:br/>
        <w:t>5 | サジタ百貨 | 地方中央 | 55 | 140 | 百貨店 | 2.5% | 未判定 | 評価依頼（百貨店業態・境界ケース）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2. 候補別の追加情報（仲介コメント抜粋）</w:t>
      </w:r>
    </w:p>
    <w:p>
      <w:r>
        <w:rPr>
          <w:rFonts w:ascii="游ゴシック" w:hAnsi="游ゴシック" w:eastAsia="游ゴシック"/>
          <w:b/>
          <w:sz w:val="22"/>
        </w:rPr>
        <w:t>2.1 タウル東食品</w:t>
      </w:r>
    </w:p>
    <w:p>
      <w:r>
        <w:rPr>
          <w:rFonts w:ascii="游ゴシック" w:hAnsi="游ゴシック" w:eastAsia="游ゴシック"/>
          <w:b w:val="0"/>
          <w:sz w:val="21"/>
        </w:rPr>
        <w:t>都心5区の食品SMチェーン（既存20店）で、既存店成長率+2.0%・新店立ち上がり率74%と業界標準レンジ。売上62億・利益率6.0%・従業員136名と、主要4軸で閾値を明確にクリア。売主は創業家の事業承継目的で、過半数譲渡を希望。仲介側の第一印象は「過去のミラ東食品（カペラ商事上期投資）と類似する標準パターン」。</w:t>
      </w:r>
    </w:p>
    <w:p>
      <w:r>
        <w:rPr>
          <w:rFonts w:ascii="游ゴシック" w:hAnsi="游ゴシック" w:eastAsia="游ゴシック"/>
          <w:b/>
          <w:sz w:val="22"/>
        </w:rPr>
        <w:t>2.2 ライラ雑貨</w:t>
      </w:r>
    </w:p>
    <w:p>
      <w:r>
        <w:rPr>
          <w:rFonts w:ascii="游ゴシック" w:hAnsi="游ゴシック" w:eastAsia="游ゴシック"/>
          <w:b w:val="0"/>
          <w:sz w:val="21"/>
        </w:rPr>
        <w:t>都市駅前型の生活雑貨チェーン（15店）。粗利率33%と業界上位、営業利益率7.5%も優良。売上48億・従業員105名で主要4軸クリア。高粗利×都市A×規模合格の構造はシェダル雑貨（上期投資）と類似。海外PEのイグジット案件。</w:t>
      </w:r>
    </w:p>
    <w:p>
      <w:r>
        <w:rPr>
          <w:rFonts w:ascii="游ゴシック" w:hAnsi="游ゴシック" w:eastAsia="游ゴシック"/>
          <w:b/>
          <w:sz w:val="22"/>
        </w:rPr>
        <w:t>2.3 アクィラ調剤</w:t>
      </w:r>
    </w:p>
    <w:p>
      <w:r>
        <w:rPr>
          <w:rFonts w:ascii="游ゴシック" w:hAnsi="游ゴシック" w:eastAsia="游ゴシック"/>
          <w:b w:val="0"/>
          <w:sz w:val="21"/>
        </w:rPr>
        <w:t>都市Bのドラッグチェーン（22店）。売上44億・利益率5.3%・従業員92名で主要4軸の閾値をぎりぎりクリア。デネボラ薬品（上期投資）や エンデバー調剤（下期投資）のドラッグ安定モデルと類似構造。</w:t>
      </w:r>
    </w:p>
    <w:p>
      <w:r>
        <w:rPr>
          <w:rFonts w:ascii="游ゴシック" w:hAnsi="游ゴシック" w:eastAsia="游ゴシック"/>
          <w:b/>
          <w:sz w:val="22"/>
        </w:rPr>
        <w:t>2.4 コロンバ生活館（境界ケース）</w:t>
      </w:r>
    </w:p>
    <w:p>
      <w:r>
        <w:rPr>
          <w:rFonts w:ascii="游ゴシック" w:hAnsi="游ゴシック" w:eastAsia="游ゴシック"/>
          <w:b w:val="0"/>
          <w:sz w:val="21"/>
        </w:rPr>
        <w:t>郊外ロードサイド型の生活雑貨（8店）。売上25億と規模閾値40億未達だが、営業利益率8.2%は本ロングリスト中最高で、粗利率も35%と極めて高い。ポルックス流通下期のアガスティア雑貨（38億・6.5%・要検討）と似た「小粒高収益」パターンだが、コロンバは規模がさらに小さい上に郊外立地という差異あり。過去の要検討判例を参照すべきかつ、追加論点として郊外立地の持続性評価も必要。</w:t>
      </w:r>
    </w:p>
    <w:p>
      <w:r>
        <w:rPr>
          <w:rFonts w:ascii="游ゴシック" w:hAnsi="游ゴシック" w:eastAsia="游ゴシック"/>
          <w:b/>
          <w:sz w:val="22"/>
        </w:rPr>
        <w:t>2.5 サジタ百貨（境界ケース）</w:t>
      </w:r>
    </w:p>
    <w:p>
      <w:r>
        <w:rPr>
          <w:rFonts w:ascii="游ゴシック" w:hAnsi="游ゴシック" w:eastAsia="游ゴシック"/>
          <w:b w:val="0"/>
          <w:sz w:val="21"/>
        </w:rPr>
        <w:t>地方中央の中堅百貨店（3店）。売上55億・従業員140名で規模は合格するが、百貨店業態は原則見送りルールに該当。営業利益率2.5%も閾値5%を大きく下回る。カメレオン百貨（上期見送り）と類似構造だが、立地が「都市A一等地」ではなく「地方中央」で、地方百貨店特有の論点（観光需要・地元客基盤）がある。過去の百貨店見送り判例を踏襲するか、地方百貨店固有の評価軸を追加すべきか判断要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3. 仲介からの申送り事項</w:t>
      </w:r>
    </w:p>
    <w:p>
      <w:r>
        <w:rPr>
          <w:rFonts w:ascii="游ゴシック" w:hAnsi="游ゴシック" w:eastAsia="游ゴシック"/>
          <w:b w:val="0"/>
          <w:sz w:val="21"/>
        </w:rPr>
        <w:t>仲介側のコメント（抜粋）:</w:t>
      </w:r>
    </w:p>
    <w:p>
      <w:r>
        <w:rPr>
          <w:rFonts w:ascii="游ゴシック" w:hAnsi="游ゴシック" w:eastAsia="游ゴシック"/>
          <w:b w:val="0"/>
          <w:sz w:val="21"/>
        </w:rPr>
        <w:t>&gt; 「上記5件のうち3件（タウル東食品・ライラ雑貨・アクィラ調剤）は過去の投資判例と構造が似ており、スコアリングロジックの適用で明確な判定が可能と思われます。一方、コロンバ生活館とサジタ百貨は過去の見送り判例に近いものの、細部で差異があり、機械的な見送りで良いか個別判断を要する境界ケースです。AI側のスコアリング結果と、人の最終判断を組み合わせる形での評価を期待します。」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4. 依頼事項</w:t>
      </w:r>
    </w:p>
    <w:p>
      <w:r>
        <w:rPr>
          <w:rFonts w:ascii="游ゴシック" w:hAnsi="游ゴシック" w:eastAsia="游ゴシック"/>
          <w:b w:val="0"/>
          <w:sz w:val="21"/>
        </w:rPr>
        <w:t>過去10件（カペラ商事 上期5件＋ポルックス流通 下期5件）のスコアリングロジックに従って、本5件を評価:</w:t>
      </w:r>
    </w:p>
    <w:p>
      <w:r>
        <w:rPr>
          <w:rFonts w:ascii="游ゴシック" w:hAnsi="游ゴシック" w:eastAsia="游ゴシック"/>
          <w:b w:val="0"/>
          <w:sz w:val="21"/>
        </w:rPr>
        <w:t>1. スコアリング: 主要4軸（地域・規模・利益率・業種）で定量スコア算出</w:t>
        <w:br/>
        <w:t>2. 3段階判定: 投資 / 要検討 / 見送り を明示</w:t>
        <w:br/>
        <w:t>3. 判定根拠: 過去判例との類似度（最類似の過去社名）と、適用した判定ルールを明記</w:t>
        <w:br/>
        <w:t>4. 境界ケース（コロンバ・サジタ）への所感: 機械的判定の是非、追加論点の指摘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/>
          <w:sz w:val="24"/>
        </w:rPr>
        <w:t>5. 参考: 本件固有の論点</w:t>
      </w:r>
    </w:p>
    <w:p>
      <w:r>
        <w:rPr>
          <w:rFonts w:ascii="游ゴシック" w:hAnsi="游ゴシック" w:eastAsia="游ゴシック"/>
          <w:b w:val="0"/>
          <w:sz w:val="21"/>
        </w:rPr>
        <w:t>- コロンバ生活館: 郊外ロードサイド立地は過去10件のいずれとも異なる。標準スコアリングで「見送り」と出ても、「新業態・新立地として個別審議枠」に回す可能性あり。</w:t>
        <w:br/>
        <w:t>- サジタ百貨: 地方百貨店は過去に類似判例なし（カメレオン百貨は都市A一等地）。地方百貨店固有の観光客・地元客需要は本件固有論点で、過去10件では捕捉できない領域。</w:t>
        <w:br/>
        <w:t>- 上記2件は、AIのスコアリング結果を参考に、人の最終判断で個別審議する想定。</w:t>
      </w:r>
    </w:p>
    <w:p>
      <w:r>
        <w:t>────────────────────────────────────────</w:t>
      </w:r>
    </w:p>
    <w:p>
      <w:r>
        <w:rPr>
          <w:rFonts w:ascii="游ゴシック" w:hAnsi="游ゴシック" w:eastAsia="游ゴシック"/>
          <w:b w:val="0"/>
          <w:sz w:val="21"/>
        </w:rPr>
        <w:t>以上（新規5件・判定未実施）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