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過去投資評価データ A — カペラ商事 上期投資候補評価（正式レポート型）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評価プロジェクト概要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プロジェクト名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カペラ商事 上期リテイル投資候補評価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評価期間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20XX年X月〜20XX年X月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評価対象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都市部リテイル候補 5社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評価担当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投資推進部（架空 俊介 本部長・架空 恵子 課長）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評価手法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主要4軸（地域・規模・利益率・業種）+ 定性面の多軸評価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判定分類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投資 / 要検討 / 見送り の3段階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スコアリング軸（評価基準）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軸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重み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評価方法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合格閾値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地域魅力度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A/B/C/地方の4段階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 または B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売上規模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25%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年商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**40億円以上**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正社員数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80名以上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業種適合性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食品SM/雑貨/ドラッグ＝◎、アパレル/百貨店＝△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◎のみ合格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営業利益率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**5.0%以上**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定性評価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経営陣・成長性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担当評価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業態別の基本方針</w:t>
      </w:r>
    </w:p>
    <w:p>
      <w:r>
        <w:rPr>
          <w:rFonts w:ascii="游ゴシック" w:hAnsi="游ゴシック" w:eastAsia="游ゴシック"/>
          <w:b w:val="0"/>
          <w:sz w:val="21"/>
        </w:rPr>
        <w:t>- 食品SM / 生活雑貨 / ドラッグストア: 標準パターン（投資候補として適正）</w:t>
        <w:br/>
        <w:t>- アパレル / 百貨店: 原則見送り（構造衰退業種・定量基準を満たしても業態リスクを優先）</w:t>
        <w:br/>
        <w:t>- 小粒高収益: 売上規模40億未満の企業は、利益率が高くても規模基準未達で原則見送り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評価結果一覧（5件・CSV形式）</w:t>
      </w:r>
    </w:p>
    <w:p>
      <w:pPr>
        <w:shd w:fill="EEEEEE"/>
      </w:pPr>
      <w:r>
        <w:rPr>
          <w:rFonts w:ascii="游ゴシック" w:hAnsi="游ゴシック" w:eastAsia="游ゴシック"/>
          <w:b w:val="0"/>
          <w:sz w:val="18"/>
        </w:rPr>
        <w:t># | 企業名 | 地域 | 売上(億円) | 従業員数 | 業種 | 利益率 | 投資判定 | 判定理由</w:t>
        <w:br/>
        <w:t>1 | ミラ東食品 | 都市A | 65 | 142 | 食品SM | 6.2% | 投資 | 主要4軸全合格・都市A立地・標準成長パターン</w:t>
        <w:br/>
        <w:t>2 | シェダル雑貨 | 都市A | 52 | 118 | 生活雑貨 | 7.8% | 投資 | 高粗利×都市A×規模合格・雑貨業態の優良モデル</w:t>
        <w:br/>
        <w:t>3 | デネボラ薬品 | 都市B | 48 | 96 | ドラッグ | 5.5% | 投資 | 規模・利益率とも閾値クリア・ドラッグ成長業態</w:t>
        <w:br/>
        <w:t>4 | ハダル衣料 | 都市B | 28 | 60 | アパレル | 6.0% | 見送り | 規模未達（40億未満）+ アパレル業態見送りルール</w:t>
        <w:br/>
        <w:t>5 | カメレオン百貨 | 都市A | 72 | 220 | 百貨店 | 1.8% | 見送り | 百貨店業態見送りルール + 利益率5%未達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判定理由コメント（詳細版）</w:t>
      </w:r>
    </w:p>
    <w:p>
      <w:r>
        <w:rPr>
          <w:rFonts w:ascii="游ゴシック" w:hAnsi="游ゴシック" w:eastAsia="游ゴシック"/>
          <w:b/>
          <w:sz w:val="22"/>
        </w:rPr>
        <w:t>3.1 ミラ東食品（投資）</w:t>
      </w:r>
    </w:p>
    <w:p>
      <w:r>
        <w:rPr>
          <w:rFonts w:ascii="游ゴシック" w:hAnsi="游ゴシック" w:eastAsia="游ゴシック"/>
          <w:b w:val="0"/>
          <w:sz w:val="21"/>
        </w:rPr>
        <w:t>都心5区に展開する食品SMチェーンで、既存店成長率+2.2%・新店立ち上がり率72%と、過去カペラ社内の食品SM業態の平均（72-76%）の範囲内。売上規模65億円・従業員142名・営業利益率6.2%で主要4軸全てがスコアリング閾値を上回る。標準投資パターンとして採用。</w:t>
      </w:r>
    </w:p>
    <w:p>
      <w:r>
        <w:rPr>
          <w:rFonts w:ascii="游ゴシック" w:hAnsi="游ゴシック" w:eastAsia="游ゴシック"/>
          <w:b/>
          <w:sz w:val="22"/>
        </w:rPr>
        <w:t>3.2 シェダル雑貨（投資）</w:t>
      </w:r>
    </w:p>
    <w:p>
      <w:r>
        <w:rPr>
          <w:rFonts w:ascii="游ゴシック" w:hAnsi="游ゴシック" w:eastAsia="游ゴシック"/>
          <w:b w:val="0"/>
          <w:sz w:val="21"/>
        </w:rPr>
        <w:t>都市部駅前型の生活雑貨チェーン。粗利率が業界平均（28%）を大きく上回る32%で、利益率7.8%は業界トップクラス。売上52億円・従業員118名と、主要4軸で閾値を明確にクリア。高粗利×都市A立地という「優良モデル」パターンで投資確定。</w:t>
      </w:r>
    </w:p>
    <w:p>
      <w:r>
        <w:rPr>
          <w:rFonts w:ascii="游ゴシック" w:hAnsi="游ゴシック" w:eastAsia="游ゴシック"/>
          <w:b/>
          <w:sz w:val="22"/>
        </w:rPr>
        <w:t>3.3 デネボラ薬品（投資）</w:t>
      </w:r>
    </w:p>
    <w:p>
      <w:r>
        <w:rPr>
          <w:rFonts w:ascii="游ゴシック" w:hAnsi="游ゴシック" w:eastAsia="游ゴシック"/>
          <w:b w:val="0"/>
          <w:sz w:val="21"/>
        </w:rPr>
        <w:t>ドラッグストア業態は近年成長領域で、本件は売上48億円・利益率5.5%と閾値をちょうど上回る水準。店舗数は28店で都市Bエリアに集中。規模感は中堅だがパターンとしては標準投資候補。</w:t>
      </w:r>
    </w:p>
    <w:p>
      <w:r>
        <w:rPr>
          <w:rFonts w:ascii="游ゴシック" w:hAnsi="游ゴシック" w:eastAsia="游ゴシック"/>
          <w:b/>
          <w:sz w:val="22"/>
        </w:rPr>
        <w:t>3.4 ハダル衣料（見送り）</w:t>
      </w:r>
    </w:p>
    <w:p>
      <w:r>
        <w:rPr>
          <w:rFonts w:ascii="游ゴシック" w:hAnsi="游ゴシック" w:eastAsia="游ゴシック"/>
          <w:b w:val="0"/>
          <w:sz w:val="21"/>
        </w:rPr>
        <w:t>都市Bの中堅アパレル。売上28億円・利益率6.0%で、利益率自体は悪くないが規模基準（40億円以上）に未達。加えてアパレル業態自体が構造衰退領域のため、小粒高収益ルールと業態見送りルールの二重条件で見送り判定。</w:t>
      </w:r>
    </w:p>
    <w:p>
      <w:r>
        <w:rPr>
          <w:rFonts w:ascii="游ゴシック" w:hAnsi="游ゴシック" w:eastAsia="游ゴシック"/>
          <w:b/>
          <w:sz w:val="22"/>
        </w:rPr>
        <w:t>3.5 カメレオン百貨（見送り）</w:t>
      </w:r>
    </w:p>
    <w:p>
      <w:r>
        <w:rPr>
          <w:rFonts w:ascii="游ゴシック" w:hAnsi="游ゴシック" w:eastAsia="游ゴシック"/>
          <w:b w:val="0"/>
          <w:sz w:val="21"/>
        </w:rPr>
        <w:t>都市A一等地の中堅百貨店（売上72億・従業員220名）。規模要件は満たすが、百貨店業態は原則見送り。加えて営業利益率1.8%と利益率閾値5%を大きく下回り、構造的な収益性課題が明確。業態見送りルール + 利益率未達の二重基準で見送り。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業態別集計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業態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件数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投資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要検討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見送り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投資成功率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100%</w:t>
            </w:r>
          </w:p>
        </w:tc>
      </w:tr>
      <w:tr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生活雑貨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100%</w:t>
            </w:r>
          </w:p>
        </w:tc>
      </w:tr>
      <w:tr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アパレル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百貨店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**合計**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**5**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**3**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**0**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**2**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**60%**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ベテラン担当者の判断パターン（抽出対象）</w:t>
      </w:r>
    </w:p>
    <w:p>
      <w:r>
        <w:rPr>
          <w:rFonts w:ascii="游ゴシック" w:hAnsi="游ゴシック" w:eastAsia="游ゴシック"/>
          <w:b w:val="0"/>
          <w:sz w:val="21"/>
        </w:rPr>
        <w:t>1. 主要4軸（地域・規模・利益率・業種）の同時合格が投資判定の必要条件</w:t>
        <w:br/>
        <w:t>2. 売上40億 × 利益率5% は「下限ライン」。どちらか一方でも外れれば要注意</w:t>
        <w:br/>
        <w:t>3. 業態による上乗せ/引き下げ: 食品SM・雑貨・ドラッグは標準、アパレル・百貨店は原則見送り</w:t>
        <w:br/>
        <w:t>4. 規模基準未達 + 業態リスクの二重条件は機械的に見送り</w:t>
        <w:br/>
        <w:t>5. 利益率が高くても規模未達（小粒高収益）はスケール不足でイグジット困難のため見送り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以上（上期5件評価・正式レポート）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