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過去事業計画データ B — シグナス流通（食品スーパー・PL+DCFのみ3年型）</w:t>
      </w:r>
    </w:p>
    <w:p>
      <w:r>
        <w:rPr>
          <w:rFonts w:ascii="游ゴシック" w:hAnsi="游ゴシック" w:eastAsia="游ゴシック"/>
          <w:b/>
          <w:color w:val="C00000"/>
          <w:sz w:val="21"/>
        </w:rPr>
        <w:t>【研修用模擬資料】本資料は演習目的で作成された架空データです。登場する企業・個人・数値・地域・組織名は全て架空であり、実在の企業・人物・案件とは一切関係ありません。</w:t>
      </w:r>
    </w:p>
    <w:p/>
    <w:p>
      <w:r>
        <w:rPr>
          <w:rFonts w:ascii="游ゴシック" w:hAnsi="游ゴシック" w:eastAsia="游ゴシック"/>
          <w:b/>
          <w:sz w:val="24"/>
        </w:rPr>
        <w:t>本モデルの位置づけ</w:t>
      </w:r>
    </w:p>
    <w:p>
      <w:r>
        <w:rPr>
          <w:rFonts w:ascii="游ゴシック" w:hAnsi="游ゴシック" w:eastAsia="游ゴシック"/>
          <w:sz w:val="21"/>
        </w:rPr>
        <w:t>対象会社: 株式会社シグナス流通（食品スーパー、地方北エリア38店舗）。本モデルは3年計画のPL＋簡易DCF構成で、BSは作成していない。CF計算は簡易式（運転資本増減を考慮せず）で算出。感度分析もWACC単独感応度のみで2軸グリッドは未作成。</w:t>
      </w:r>
    </w:p>
    <w:p>
      <w:r>
        <w:rPr>
          <w:rFonts w:ascii="游ゴシック" w:hAnsi="游ゴシック" w:eastAsia="游ゴシック"/>
          <w:sz w:val="21"/>
        </w:rPr>
      </w:r>
    </w:p>
    <w:p>
      <w:r>
        <w:rPr>
          <w:rFonts w:ascii="游ゴシック" w:hAnsi="游ゴシック" w:eastAsia="游ゴシック"/>
          <w:sz w:val="21"/>
        </w:rPr>
        <w:t>作成: 架空 慎吾（戦略企画室）／20XX年X月</w:t>
      </w:r>
    </w:p>
    <w:p>
      <w:r>
        <w:rPr>
          <w:rFonts w:ascii="游ゴシック" w:hAnsi="游ゴシック" w:eastAsia="游ゴシック"/>
          <w:sz w:val="21"/>
        </w:rPr>
        <w:t>位置づけ: 参考モデル。投資委員会で「BS欠落・WACC根拠不明」との指摘により不採用。</w:t>
      </w:r>
    </w:p>
    <w:p/>
    <w:p>
      <w:r>
        <w:rPr>
          <w:rFonts w:ascii="游ゴシック" w:hAnsi="游ゴシック" w:eastAsia="游ゴシック"/>
          <w:b/>
          <w:sz w:val="24"/>
        </w:rPr>
        <w:t>1. 前提条件（簡易版）</w:t>
      </w:r>
    </w:p>
    <w:p>
      <w:r>
        <w:rPr>
          <w:rFonts w:ascii="游ゴシック" w:hAnsi="游ゴシック" w:eastAsia="游ゴシック"/>
          <w:sz w:val="21"/>
        </w:rPr>
        <w:t>- 既存店売上成長率: 年率+1.0%で3年一定</w:t>
      </w:r>
    </w:p>
    <w:p>
      <w:r>
        <w:rPr>
          <w:rFonts w:ascii="游ゴシック" w:hAnsi="游ゴシック" w:eastAsia="游ゴシック"/>
          <w:sz w:val="21"/>
        </w:rPr>
        <w:t>- 売上原価率: 75.0%（食品SM業態）</w:t>
      </w:r>
    </w:p>
    <w:p>
      <w:r>
        <w:rPr>
          <w:rFonts w:ascii="游ゴシック" w:hAnsi="游ゴシック" w:eastAsia="游ゴシック"/>
          <w:sz w:val="21"/>
        </w:rPr>
        <w:t>- 販管費率: 23.5%（売上連動の単純線形）</w:t>
      </w:r>
    </w:p>
    <w:p>
      <w:r>
        <w:rPr>
          <w:rFonts w:ascii="游ゴシック" w:hAnsi="游ゴシック" w:eastAsia="游ゴシック"/>
          <w:sz w:val="21"/>
        </w:rPr>
        <w:t>- 営業利益率: 1.5%レンジ</w:t>
      </w:r>
    </w:p>
    <w:p>
      <w:r>
        <w:rPr>
          <w:rFonts w:ascii="游ゴシック" w:hAnsi="游ゴシック" w:eastAsia="游ゴシック"/>
          <w:sz w:val="21"/>
        </w:rPr>
        <w:t>- 税率: 30%</w:t>
      </w:r>
    </w:p>
    <w:p>
      <w:r>
        <w:rPr>
          <w:rFonts w:ascii="游ゴシック" w:hAnsi="游ゴシック" w:eastAsia="游ゴシック"/>
          <w:sz w:val="21"/>
        </w:rPr>
        <w:t>- WACC: 5.5%（単純固定・算出根拠なし）</w:t>
      </w:r>
    </w:p>
    <w:p>
      <w:r>
        <w:rPr>
          <w:rFonts w:ascii="游ゴシック" w:hAnsi="游ゴシック" w:eastAsia="游ゴシック"/>
          <w:sz w:val="21"/>
        </w:rPr>
        <w:t>- ターミナル成長率: 0.5%</w:t>
      </w:r>
    </w:p>
    <w:p/>
    <w:p>
      <w:r>
        <w:rPr>
          <w:rFonts w:ascii="游ゴシック" w:hAnsi="游ゴシック" w:eastAsia="游ゴシック"/>
          <w:b/>
          <w:sz w:val="24"/>
        </w:rPr>
        <w:t>2. PL計画（3年・単位：百万円）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1728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20X0実績</w:t>
            </w:r>
          </w:p>
        </w:tc>
        <w:tc>
          <w:tcPr>
            <w:tcW w:type="dxa" w:w="1728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20X1</w:t>
            </w:r>
          </w:p>
        </w:tc>
        <w:tc>
          <w:tcPr>
            <w:tcW w:type="dxa" w:w="1728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20X2</w:t>
            </w:r>
          </w:p>
        </w:tc>
        <w:tc>
          <w:tcPr>
            <w:tcW w:type="dxa" w:w="1728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20X3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売上高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88,200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89,080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91,760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94,510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売上原価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66,150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66,810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68,820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70,880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売上総利益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22,050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22,270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22,940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23,630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販管費（一括）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20,730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20,930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21,560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22,210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営業利益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1,320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1,340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1,380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1,420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営業利益率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1.5%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1.5%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1.5%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1.5%</w:t>
            </w:r>
          </w:p>
        </w:tc>
      </w:tr>
      <w:tr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経常利益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1,240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1,260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1,300</w:t>
            </w:r>
          </w:p>
        </w:tc>
        <w:tc>
          <w:tcPr>
            <w:tcW w:type="dxa" w:w="1728"/>
          </w:tcPr>
          <w:p>
            <w:r>
              <w:rPr>
                <w:rFonts w:ascii="游ゴシック" w:hAnsi="游ゴシック" w:eastAsia="游ゴシック"/>
                <w:sz w:val="21"/>
              </w:rPr>
              <w:t>1,340</w:t>
            </w:r>
          </w:p>
        </w:tc>
      </w:tr>
      <w:tr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当期純利益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868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882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910</w:t>
            </w:r>
          </w:p>
        </w:tc>
        <w:tc>
          <w:tcPr>
            <w:tcW w:type="dxa" w:w="1728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938</w:t>
            </w:r>
          </w:p>
        </w:tc>
      </w:tr>
    </w:tbl>
    <w:p/>
    <w:p>
      <w:r>
        <w:rPr>
          <w:rFonts w:ascii="游ゴシック" w:hAnsi="游ゴシック" w:eastAsia="游ゴシック"/>
          <w:b/>
          <w:sz w:val="24"/>
        </w:rPr>
        <w:t>3. 簡易DCF計算</w:t>
      </w:r>
    </w:p>
    <w:p>
      <w:r>
        <w:rPr>
          <w:rFonts w:ascii="游ゴシック" w:hAnsi="游ゴシック" w:eastAsia="游ゴシック"/>
          <w:b/>
          <w:sz w:val="21"/>
        </w:rPr>
        <w:t>3.1 FCF算出（簡易式・BS欠落のため運転資本増減は無視）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216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20X1</w:t>
            </w:r>
          </w:p>
        </w:tc>
        <w:tc>
          <w:tcPr>
            <w:tcW w:type="dxa" w:w="216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20X2</w:t>
            </w:r>
          </w:p>
        </w:tc>
        <w:tc>
          <w:tcPr>
            <w:tcW w:type="dxa" w:w="216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20X3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NOPAT（営業利益×0.7）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938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966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994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+減価償却費</w:t>
            </w:r>
          </w:p>
        </w:tc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1,680</w:t>
            </w:r>
          </w:p>
        </w:tc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1,720</w:t>
            </w:r>
          </w:p>
        </w:tc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1,770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運転資本増減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無視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無視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無視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設備投資</w:t>
            </w:r>
          </w:p>
        </w:tc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-1,900</w:t>
            </w:r>
          </w:p>
        </w:tc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-1,920</w:t>
            </w:r>
          </w:p>
        </w:tc>
        <w:tc>
          <w:tcPr>
            <w:tcW w:type="dxa" w:w="216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-1,940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FCF（簡易）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718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766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21"/>
              </w:rPr>
              <w:t>824</w:t>
            </w:r>
          </w:p>
        </w:tc>
      </w:tr>
    </w:tbl>
    <w:p/>
    <w:p>
      <w:r>
        <w:rPr>
          <w:rFonts w:ascii="游ゴシック" w:hAnsi="游ゴシック" w:eastAsia="游ゴシック"/>
          <w:b/>
          <w:sz w:val="21"/>
        </w:rPr>
        <w:t>3.2 DCF企業価値（WACC 5.5%単純固定）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値（百万円）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21"/>
              </w:rPr>
              <w:t>明示期間3年PV合計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21"/>
              </w:rPr>
              <w:t>2,018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ターミナル FCF×(1+0.5%)/(5.5%-0.5%)</w:t>
            </w:r>
          </w:p>
        </w:tc>
        <w:tc>
          <w:tcPr>
            <w:tcW w:type="dxa" w:w="432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16,562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21"/>
              </w:rPr>
              <w:t>TV現在価値（20X3割引）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21"/>
              </w:rPr>
              <w:t>14,104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企業価値（EV）</w:t>
            </w:r>
          </w:p>
        </w:tc>
        <w:tc>
          <w:tcPr>
            <w:tcW w:type="dxa" w:w="432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16,122</w:t>
            </w:r>
          </w:p>
        </w:tc>
      </w:tr>
    </w:tbl>
    <w:p/>
    <w:p>
      <w:r>
        <w:rPr>
          <w:rFonts w:ascii="游ゴシック" w:hAnsi="游ゴシック" w:eastAsia="游ゴシック"/>
          <w:b/>
          <w:sz w:val="24"/>
        </w:rPr>
        <w:t>4. 感度分析（WACC単独感応度のみ・アンチパターン）</w:t>
      </w:r>
    </w:p>
    <w:p>
      <w:r>
        <w:rPr>
          <w:rFonts w:ascii="游ゴシック" w:hAnsi="游ゴシック" w:eastAsia="游ゴシック"/>
          <w:sz w:val="21"/>
        </w:rPr>
        <w:t>※ 本モデルでは WACC × g の2軸グリッドは作成していない。単独感応度のみ担当メモで記載。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WACC</w:t>
            </w:r>
          </w:p>
        </w:tc>
        <w:tc>
          <w:tcPr>
            <w:tcW w:type="dxa" w:w="4320"/>
            <w:shd w:fill="2E4057"/>
          </w:tcPr>
          <w:p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EV（百万円・概算）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21"/>
              </w:rPr>
              <w:t>5.0%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21"/>
              </w:rPr>
              <w:t>17,400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5.5%（基準）</w:t>
            </w:r>
          </w:p>
        </w:tc>
        <w:tc>
          <w:tcPr>
            <w:tcW w:type="dxa" w:w="4320"/>
            <w:shd w:fill="F5F5F5"/>
          </w:tcPr>
          <w:p>
            <w:r>
              <w:rPr>
                <w:rFonts w:ascii="游ゴシック" w:hAnsi="游ゴシック" w:eastAsia="游ゴシック"/>
                <w:sz w:val="21"/>
              </w:rPr>
              <w:t>16,122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21"/>
              </w:rPr>
              <w:t>6.0%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21"/>
              </w:rPr>
              <w:t>15,000</w:t>
            </w:r>
          </w:p>
        </w:tc>
      </w:tr>
    </w:tbl>
    <w:p/>
    <w:p>
      <w:r>
        <w:rPr>
          <w:rFonts w:ascii="游ゴシック" w:hAnsi="游ゴシック" w:eastAsia="游ゴシック"/>
          <w:b/>
          <w:sz w:val="24"/>
        </w:rPr>
        <w:t>5. 投資委員会フィードバック（抜粋）</w:t>
      </w:r>
    </w:p>
    <w:p>
      <w:r>
        <w:rPr>
          <w:rFonts w:ascii="游ゴシック" w:hAnsi="游ゴシック" w:eastAsia="游ゴシック"/>
          <w:sz w:val="21"/>
        </w:rPr>
        <w:t>本モデル提示後、投資委員会より以下の指摘を受けた（議事録抜粋）:</w:t>
      </w:r>
    </w:p>
    <w:p>
      <w:r>
        <w:rPr>
          <w:rFonts w:ascii="游ゴシック" w:hAnsi="游ゴシック" w:eastAsia="游ゴシック"/>
          <w:sz w:val="21"/>
        </w:rPr>
        <w:t>1. BSがないため、運転資本の増減がFCF計算に反映されていない。食品SM業態は売上成長時に棚卸資産が増えるので、FCF過大計上の可能性。</w:t>
      </w:r>
    </w:p>
    <w:p>
      <w:r>
        <w:rPr>
          <w:rFonts w:ascii="游ゴシック" w:hAnsi="游ゴシック" w:eastAsia="游ゴシック"/>
          <w:sz w:val="21"/>
        </w:rPr>
        <w:t>2. WACCの算出根拠が記載されていない。単純な5.5%使用では説得力不足。類似上場企業のベータ・資本構成ベースで積み上げるべき。</w:t>
      </w:r>
    </w:p>
    <w:p>
      <w:r>
        <w:rPr>
          <w:rFonts w:ascii="游ゴシック" w:hAnsi="游ゴシック" w:eastAsia="游ゴシック"/>
          <w:sz w:val="21"/>
        </w:rPr>
        <w:t>3. 感度分析はWACCだけでなく、売上成長率・原価率でも実施すべき。本業態は原価率変動がEVに大きく効く。</w:t>
      </w:r>
    </w:p>
    <w:p>
      <w:r>
        <w:rPr>
          <w:rFonts w:ascii="游ゴシック" w:hAnsi="游ゴシック" w:eastAsia="游ゴシック"/>
          <w:sz w:val="21"/>
        </w:rPr>
        <w:t>4. 販管費率の固定展開は、最低時給上昇による人件費上昇を織り込めない。</w:t>
      </w:r>
    </w:p>
    <w:p>
      <w:r>
        <w:rPr>
          <w:rFonts w:ascii="游ゴシック" w:hAnsi="游ゴシック" w:eastAsia="游ゴシック"/>
          <w:sz w:val="21"/>
        </w:rPr>
        <w:t>5. 本モデルは投資判定用としては採用不可。リファレンスから除外。</w:t>
      </w:r>
    </w:p>
    <w:p/>
    <w:p>
      <w:r>
        <w:rPr>
          <w:rFonts w:ascii="游ゴシック" w:hAnsi="游ゴシック" w:eastAsia="游ゴシック"/>
          <w:b/>
          <w:sz w:val="24"/>
        </w:rPr>
        <w:t>6. 担当メモ（モデル構造上の注意・アンチパターン）</w:t>
      </w:r>
    </w:p>
    <w:p>
      <w:r>
        <w:rPr>
          <w:rFonts w:ascii="游ゴシック" w:hAnsi="游ゴシック" w:eastAsia="游ゴシック"/>
          <w:sz w:val="21"/>
        </w:rPr>
        <w:t>- BSなしのCF計算は食品SM等の棚卸資産が多い業態では歪みが大きい（運転資本増減を無視すると成長期のFCF過大計上）</w:t>
      </w:r>
    </w:p>
    <w:p>
      <w:r>
        <w:rPr>
          <w:rFonts w:ascii="游ゴシック" w:hAnsi="游ゴシック" w:eastAsia="游ゴシック"/>
          <w:sz w:val="21"/>
        </w:rPr>
        <w:t>- 営業利益率1.5%固定は現実的だが、構造変化（PB比率アップ等）を織り込めない</w:t>
      </w:r>
    </w:p>
    <w:p>
      <w:r>
        <w:rPr>
          <w:rFonts w:ascii="游ゴシック" w:hAnsi="游ゴシック" w:eastAsia="游ゴシック"/>
          <w:sz w:val="21"/>
        </w:rPr>
        <w:t>- WACC単純固定は資本構成変化に対応できず、案件固有性も反映できない</w:t>
      </w:r>
    </w:p>
    <w:p>
      <w:r>
        <w:rPr>
          <w:rFonts w:ascii="游ゴシック" w:hAnsi="游ゴシック" w:eastAsia="游ゴシック"/>
          <w:sz w:val="21"/>
        </w:rPr>
        <w:t>- 本モデルを引用する際は、構造限界を明記し参考値扱いとすること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