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社内メモ C — ドラコマート 新業態・簡易PL試算（叩き台）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/>
    <w:p>
      <w:r>
        <w:rPr>
          <w:rFonts w:ascii="游ゴシック" w:hAnsi="游ゴシック" w:eastAsia="游ゴシック"/>
          <w:b/>
          <w:sz w:val="24"/>
        </w:rPr>
        <w:t>メモ冒頭</w:t>
      </w:r>
    </w:p>
    <w:p>
      <w:r>
        <w:rPr>
          <w:rFonts w:ascii="游ゴシック" w:hAnsi="游ゴシック" w:eastAsia="游ゴシック"/>
          <w:sz w:val="21"/>
        </w:rPr>
        <w:t>To: 経営企画部 架空 優子 様</w:t>
      </w:r>
    </w:p>
    <w:p>
      <w:r>
        <w:rPr>
          <w:rFonts w:ascii="游ゴシック" w:hAnsi="游ゴシック" w:eastAsia="游ゴシック"/>
          <w:sz w:val="21"/>
        </w:rPr>
        <w:t>From: 事業開発チーム 架空 健太郎</w:t>
      </w:r>
    </w:p>
    <w:p>
      <w:r>
        <w:rPr>
          <w:rFonts w:ascii="游ゴシック" w:hAnsi="游ゴシック" w:eastAsia="游ゴシック"/>
          <w:sz w:val="21"/>
        </w:rPr>
        <w:t>Date: 20XX年X月X日</w:t>
      </w:r>
    </w:p>
    <w:p>
      <w:r>
        <w:rPr>
          <w:rFonts w:ascii="游ゴシック" w:hAnsi="游ゴシック" w:eastAsia="游ゴシック"/>
          <w:b/>
          <w:sz w:val="21"/>
        </w:rPr>
        <w:t>件名: ドラコマート 3年PL簡易試算（叩き台・新業態）</w:t>
      </w:r>
    </w:p>
    <w:p/>
    <w:p>
      <w:r>
        <w:rPr>
          <w:rFonts w:ascii="游ゴシック" w:hAnsi="游ゴシック" w:eastAsia="游ゴシック"/>
          <w:sz w:val="21"/>
        </w:rPr>
        <w:t>対象会社は株式会社ドラコマート（新業態のドラッグ＋日配品複合型・地方郊外12店舗）。先方から受領した前期実績と、当方でヒアリングした前提条件ベースで **PLのみ3年分** を作成した。**BS・CF・DCFは未作成**。正式な投資判断前段の「数字感」を掴むための叩き台。</w:t>
      </w:r>
    </w:p>
    <w:p>
      <w:r>
        <w:rPr>
          <w:rFonts w:ascii="游ゴシック" w:hAnsi="游ゴシック" w:eastAsia="游ゴシック"/>
          <w:sz w:val="21"/>
        </w:rPr>
      </w:r>
    </w:p>
    <w:p>
      <w:r>
        <w:rPr>
          <w:rFonts w:ascii="游ゴシック" w:hAnsi="游ゴシック" w:eastAsia="游ゴシック"/>
          <w:sz w:val="21"/>
        </w:rPr>
        <w:t>前提条件シートは正式版ではなく、**ヒアリングメモからの再構成**のため、記載のない項目は業界平均値で仮置きしている（要注意）。</w:t>
      </w:r>
    </w:p>
    <w:p/>
    <w:p>
      <w:r>
        <w:rPr>
          <w:rFonts w:ascii="游ゴシック" w:hAnsi="游ゴシック" w:eastAsia="游ゴシック"/>
          <w:b/>
          <w:sz w:val="24"/>
        </w:rPr>
        <w:t>1. 前提条件（ヒアリング・業界平均混在）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288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値</w:t>
            </w:r>
          </w:p>
        </w:tc>
        <w:tc>
          <w:tcPr>
            <w:tcW w:type="dxa" w:w="288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ソース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既存店成長率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前期比+1.8%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先方ヒアリング（3年平均）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新規出店数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不明（年1店程度推定）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ヒアリング未確認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新店売上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約3.0億/店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業界平均仮置き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売上原価率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約70%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前期PL逆算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販管費率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25%前後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業界平均仮置き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設備投資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年間 約2.4億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口頭・金額不明瞭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税率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21"/>
              </w:rPr>
              <w:t>標準</w:t>
            </w:r>
          </w:p>
        </w:tc>
      </w:tr>
    </w:tbl>
    <w:p/>
    <w:p>
      <w:r>
        <w:rPr>
          <w:rFonts w:ascii="游ゴシック" w:hAnsi="游ゴシック" w:eastAsia="游ゴシック"/>
          <w:b/>
          <w:sz w:val="24"/>
        </w:rPr>
        <w:t>2. PL試算（3年・単位：百万円）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20X0実績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20X1見込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20X2予想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20X3予想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売上高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4,200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4,410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4,620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4,830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売上原価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2,940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3,090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3,230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3,380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売上総利益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1,260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1,320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1,390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1,450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売上総利益率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30.0%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30.0%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30.0%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30.0%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販管費（一括）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1,050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1,100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1,150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1,210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営業利益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210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220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240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240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営業利益率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5.0%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5.0%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5.2%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5.0%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経常利益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195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205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225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225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当期純利益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137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144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158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158</w:t>
            </w:r>
          </w:p>
        </w:tc>
      </w:tr>
    </w:tbl>
    <w:p/>
    <w:p>
      <w:r>
        <w:rPr>
          <w:rFonts w:ascii="游ゴシック" w:hAnsi="游ゴシック" w:eastAsia="游ゴシック"/>
          <w:b/>
          <w:sz w:val="21"/>
        </w:rPr>
        <w:t>※ 営業利益率が5.0%前後で推移しているが、売上原価率・販管費率を固定で置いているため精査が必要。</w:t>
      </w:r>
    </w:p>
    <w:p/>
    <w:p>
      <w:r>
        <w:rPr>
          <w:rFonts w:ascii="游ゴシック" w:hAnsi="游ゴシック" w:eastAsia="游ゴシック"/>
          <w:b/>
          <w:sz w:val="24"/>
        </w:rPr>
        <w:t>3. 簡易評価（所感）</w:t>
      </w:r>
    </w:p>
    <w:p>
      <w:r>
        <w:rPr>
          <w:rFonts w:ascii="游ゴシック" w:hAnsi="游ゴシック" w:eastAsia="游ゴシック"/>
          <w:sz w:val="21"/>
        </w:rPr>
        <w:t>- 売上成長+1.8%は新業態にしては控えめ。新規出店を織り込めれば+3%は期待できる余地あり</w:t>
      </w:r>
    </w:p>
    <w:p>
      <w:r>
        <w:rPr>
          <w:rFonts w:ascii="游ゴシック" w:hAnsi="游ゴシック" w:eastAsia="游ゴシック"/>
          <w:sz w:val="21"/>
        </w:rPr>
        <w:t>- 営業利益率5%は業態平均と同程度で、差別化の源泉が明確でない</w:t>
      </w:r>
    </w:p>
    <w:p>
      <w:r>
        <w:rPr>
          <w:rFonts w:ascii="游ゴシック" w:hAnsi="游ゴシック" w:eastAsia="游ゴシック"/>
          <w:sz w:val="21"/>
        </w:rPr>
        <w:t>- BS・CFが作れていないため、投資回収期間の試算は不能</w:t>
      </w:r>
    </w:p>
    <w:p>
      <w:r>
        <w:rPr>
          <w:rFonts w:ascii="游ゴシック" w:hAnsi="游ゴシック" w:eastAsia="游ゴシック"/>
          <w:sz w:val="21"/>
        </w:rPr>
        <w:t>- DCF評価は本モデルでは不可。別途、類似企業マルチプル（PER・EV/EBITDA）での参考値算定を推奨</w:t>
      </w:r>
    </w:p>
    <w:p/>
    <w:p>
      <w:r>
        <w:rPr>
          <w:rFonts w:ascii="游ゴシック" w:hAnsi="游ゴシック" w:eastAsia="游ゴシック"/>
          <w:b/>
          <w:sz w:val="24"/>
        </w:rPr>
        <w:t>4. 類似企業マルチプルでの参考評価（簡易）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指標</w:t>
            </w:r>
          </w:p>
        </w:tc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ドラコマート</w:t>
            </w:r>
          </w:p>
        </w:tc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類似上場5社中央値</w:t>
            </w:r>
          </w:p>
        </w:tc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想定EV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EBITDA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約300百万円（営業利益210+減価償却仮置き90）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EV/EBITDA 7.5x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2,250百万円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当期純利益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137百万円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PER 13.0x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1,781百万円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売上高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4,200百万円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EV/Sales 0.45x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1,890百万円</w:t>
            </w:r>
          </w:p>
        </w:tc>
      </w:tr>
    </w:tbl>
    <w:p>
      <w:r>
        <w:rPr>
          <w:rFonts w:ascii="游ゴシック" w:hAnsi="游ゴシック" w:eastAsia="游ゴシック"/>
          <w:sz w:val="21"/>
        </w:rPr>
      </w:r>
    </w:p>
    <w:p>
      <w:r>
        <w:rPr>
          <w:rFonts w:ascii="游ゴシック" w:hAnsi="游ゴシック" w:eastAsia="游ゴシック"/>
          <w:b/>
          <w:sz w:val="21"/>
        </w:rPr>
        <w:t>→ 参考EVレンジ: 1,780〜2,250百万円（中央値 約2,000百万円）</w:t>
      </w:r>
    </w:p>
    <w:p>
      <w:r>
        <w:rPr>
          <w:rFonts w:ascii="游ゴシック" w:hAnsi="游ゴシック" w:eastAsia="游ゴシック"/>
          <w:sz w:val="21"/>
        </w:rPr>
      </w:r>
    </w:p>
    <w:p>
      <w:r>
        <w:rPr>
          <w:rFonts w:ascii="游ゴシック" w:hAnsi="游ゴシック" w:eastAsia="游ゴシック"/>
          <w:sz w:val="21"/>
        </w:rPr>
        <w:t>ただし、本試算は類似企業の業態・規模の差異を十分に調整していないため、正式な投資判断には使えない「机上の数値」である。</w:t>
      </w:r>
    </w:p>
    <w:p/>
    <w:p>
      <w:r>
        <w:rPr>
          <w:rFonts w:ascii="游ゴシック" w:hAnsi="游ゴシック" w:eastAsia="游ゴシック"/>
          <w:b/>
          <w:sz w:val="24"/>
        </w:rPr>
        <w:t>5. 追加で入手すべきデータ（精査リスト）</w:t>
      </w:r>
    </w:p>
    <w:p>
      <w:r>
        <w:rPr>
          <w:rFonts w:ascii="游ゴシック" w:hAnsi="游ゴシック" w:eastAsia="游ゴシック"/>
          <w:sz w:val="21"/>
        </w:rPr>
        <w:t>本試算の精度を上げるために、以下の追加資料を先方に依頼予定:</w:t>
      </w:r>
    </w:p>
    <w:p>
      <w:r>
        <w:rPr>
          <w:rFonts w:ascii="游ゴシック" w:hAnsi="游ゴシック" w:eastAsia="游ゴシック"/>
          <w:sz w:val="21"/>
        </w:rPr>
        <w:t>1. 過去3年の月次損益（季節変動の把握）</w:t>
      </w:r>
    </w:p>
    <w:p>
      <w:r>
        <w:rPr>
          <w:rFonts w:ascii="游ゴシック" w:hAnsi="游ゴシック" w:eastAsia="游ゴシック"/>
          <w:sz w:val="21"/>
        </w:rPr>
        <w:t>2. BS詳細（運転資本・有利子負債・自己資本比率）</w:t>
      </w:r>
    </w:p>
    <w:p>
      <w:r>
        <w:rPr>
          <w:rFonts w:ascii="游ゴシック" w:hAnsi="游ゴシック" w:eastAsia="游ゴシック"/>
          <w:sz w:val="21"/>
        </w:rPr>
        <w:t>3. CF計算書（営業CF・投資CF・財務CFの過去3年）</w:t>
      </w:r>
    </w:p>
    <w:p>
      <w:r>
        <w:rPr>
          <w:rFonts w:ascii="游ゴシック" w:hAnsi="游ゴシック" w:eastAsia="游ゴシック"/>
          <w:sz w:val="21"/>
        </w:rPr>
        <w:t>4. 店舗別損益（既存店別の収益力分散）</w:t>
      </w:r>
    </w:p>
    <w:p>
      <w:r>
        <w:rPr>
          <w:rFonts w:ascii="游ゴシック" w:hAnsi="游ゴシック" w:eastAsia="游ゴシック"/>
          <w:sz w:val="21"/>
        </w:rPr>
        <w:t>5. 設備投資計画の詳細（新店・更新・IT投資の内訳）</w:t>
      </w:r>
    </w:p>
    <w:p>
      <w:r>
        <w:rPr>
          <w:rFonts w:ascii="游ゴシック" w:hAnsi="游ゴシック" w:eastAsia="游ゴシック"/>
          <w:sz w:val="21"/>
        </w:rPr>
        <w:t>6. 人件費内訳（正社員／パートの別、時給水準）</w:t>
      </w:r>
    </w:p>
    <w:p/>
    <w:p>
      <w:r>
        <w:rPr>
          <w:rFonts w:ascii="游ゴシック" w:hAnsi="游ゴシック" w:eastAsia="游ゴシック"/>
          <w:sz w:val="21"/>
        </w:rPr>
        <w:t>上記を入手後、PL/BS/CF/DCF完備の正式モデルを再構築する予定。それまで本試算は「叩き台」扱いとする。</w:t>
      </w:r>
    </w:p>
    <w:p/>
    <w:p>
      <w:r>
        <w:rPr>
          <w:rFonts w:ascii="游ゴシック" w:hAnsi="游ゴシック" w:eastAsia="游ゴシック"/>
          <w:b/>
          <w:sz w:val="24"/>
        </w:rPr>
        <w:t>6. 担当所感</w:t>
      </w:r>
    </w:p>
    <w:p>
      <w:r>
        <w:rPr>
          <w:rFonts w:ascii="游ゴシック" w:hAnsi="游ゴシック" w:eastAsia="游ゴシック"/>
          <w:sz w:val="21"/>
        </w:rPr>
        <w:t>- 規模感としては、売上40億規模の中堅新業態案件</w:t>
      </w:r>
    </w:p>
    <w:p>
      <w:r>
        <w:rPr>
          <w:rFonts w:ascii="游ゴシック" w:hAnsi="游ゴシック" w:eastAsia="游ゴシック"/>
          <w:sz w:val="21"/>
        </w:rPr>
        <w:t>- EV 18〜23億前後で妥当と推測</w:t>
      </w:r>
    </w:p>
    <w:p>
      <w:r>
        <w:rPr>
          <w:rFonts w:ascii="游ゴシック" w:hAnsi="游ゴシック" w:eastAsia="游ゴシック"/>
          <w:sz w:val="21"/>
        </w:rPr>
        <w:t>- ただし、情報の粒度が低すぎて正式な投資判断は不可</w:t>
      </w:r>
    </w:p>
    <w:p>
      <w:r>
        <w:rPr>
          <w:rFonts w:ascii="游ゴシック" w:hAnsi="游ゴシック" w:eastAsia="游ゴシック"/>
          <w:sz w:val="21"/>
        </w:rPr>
        <w:t>- 最終的には、フェニックス商事モデル（完備型）相当の詳細版を作成できるだけの情報入手が必要</w:t>
      </w:r>
    </w:p>
    <w:p/>
    <w:p>
      <w:r>
        <w:rPr>
          <w:rFonts w:ascii="游ゴシック" w:hAnsi="游ゴシック" w:eastAsia="游ゴシック"/>
          <w:sz w:val="21"/>
        </w:rPr>
        <w:t>以上、簡易試算まで。正式モデルは情報入手後に別途提出します。</w:t>
      </w:r>
    </w:p>
    <w:p>
      <w:r>
        <w:rPr>
          <w:rFonts w:ascii="游ゴシック" w:hAnsi="游ゴシック" w:eastAsia="游ゴシック"/>
          <w:sz w:val="21"/>
        </w:rPr>
      </w:r>
    </w:p>
    <w:p>
      <w:r>
        <w:rPr>
          <w:rFonts w:ascii="游ゴシック" w:hAnsi="游ゴシック" w:eastAsia="游ゴシック"/>
          <w:sz w:val="21"/>
        </w:rPr>
        <w:t>—— 架空 健太郎（事業開発チーム）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