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B6C" w:rsidRPr="00FF7B6C" w:rsidRDefault="00FF7B6C" w:rsidP="00FF7B6C">
      <w:pPr>
        <w:spacing w:before="240" w:after="0" w:line="240" w:lineRule="auto"/>
        <w:rPr>
          <w:rFonts w:ascii="Arial" w:hAnsi="Arial" w:cs="Arial"/>
          <w:b/>
          <w:sz w:val="32"/>
          <w:szCs w:val="24"/>
        </w:rPr>
      </w:pPr>
      <w:r w:rsidRPr="00FF7B6C">
        <w:rPr>
          <w:rFonts w:ascii="Arial" w:hAnsi="Arial" w:cs="Arial"/>
          <w:b/>
          <w:sz w:val="32"/>
          <w:szCs w:val="24"/>
        </w:rPr>
        <w:t xml:space="preserve">Fogászati beavatkozások, amelyek során a </w:t>
      </w:r>
      <w:r>
        <w:rPr>
          <w:rFonts w:ascii="Arial" w:hAnsi="Arial" w:cs="Arial"/>
          <w:b/>
          <w:sz w:val="32"/>
          <w:szCs w:val="24"/>
        </w:rPr>
        <w:t>NAGY</w:t>
      </w:r>
      <w:r w:rsidRPr="00FF7B6C">
        <w:rPr>
          <w:rFonts w:ascii="Arial" w:hAnsi="Arial" w:cs="Arial"/>
          <w:b/>
          <w:sz w:val="32"/>
          <w:szCs w:val="24"/>
        </w:rPr>
        <w:t xml:space="preserve"> kockázatú betegekben profilaxis indokolt</w:t>
      </w:r>
    </w:p>
    <w:p w:rsidR="00FF7B6C" w:rsidRPr="00FF7B6C" w:rsidRDefault="00FF7B6C" w:rsidP="00FF7B6C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FF7B6C">
        <w:rPr>
          <w:rFonts w:ascii="Arial" w:hAnsi="Arial" w:cs="Arial"/>
          <w:sz w:val="24"/>
          <w:szCs w:val="24"/>
        </w:rPr>
        <w:t xml:space="preserve">- Foghúzás </w:t>
      </w:r>
    </w:p>
    <w:p w:rsidR="00FF7B6C" w:rsidRPr="00FF7B6C" w:rsidRDefault="00FF7B6C" w:rsidP="00FF7B6C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FF7B6C">
        <w:rPr>
          <w:rFonts w:ascii="Arial" w:hAnsi="Arial" w:cs="Arial"/>
          <w:sz w:val="24"/>
          <w:szCs w:val="24"/>
        </w:rPr>
        <w:t xml:space="preserve">- Foggyökér körüli sebészeti beavatkozások, </w:t>
      </w:r>
      <w:proofErr w:type="spellStart"/>
      <w:r w:rsidRPr="00FF7B6C">
        <w:rPr>
          <w:rFonts w:ascii="Arial" w:hAnsi="Arial" w:cs="Arial"/>
          <w:sz w:val="24"/>
          <w:szCs w:val="24"/>
        </w:rPr>
        <w:t>depurálás</w:t>
      </w:r>
      <w:proofErr w:type="spellEnd"/>
      <w:r w:rsidRPr="00FF7B6C">
        <w:rPr>
          <w:rFonts w:ascii="Arial" w:hAnsi="Arial" w:cs="Arial"/>
          <w:sz w:val="24"/>
          <w:szCs w:val="24"/>
        </w:rPr>
        <w:t xml:space="preserve">, gyökérsimítás, tasakmélység mérése és fenntartó kezelések </w:t>
      </w:r>
    </w:p>
    <w:p w:rsidR="00FF7B6C" w:rsidRPr="00FF7B6C" w:rsidRDefault="00FF7B6C" w:rsidP="00FF7B6C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FF7B6C">
        <w:rPr>
          <w:rFonts w:ascii="Arial" w:hAnsi="Arial" w:cs="Arial"/>
          <w:sz w:val="24"/>
          <w:szCs w:val="24"/>
        </w:rPr>
        <w:t xml:space="preserve">- Fogászati </w:t>
      </w:r>
      <w:proofErr w:type="spellStart"/>
      <w:r w:rsidRPr="00FF7B6C">
        <w:rPr>
          <w:rFonts w:ascii="Arial" w:hAnsi="Arial" w:cs="Arial"/>
          <w:sz w:val="24"/>
          <w:szCs w:val="24"/>
        </w:rPr>
        <w:t>implantatumok</w:t>
      </w:r>
      <w:proofErr w:type="spellEnd"/>
      <w:r w:rsidRPr="00FF7B6C">
        <w:rPr>
          <w:rFonts w:ascii="Arial" w:hAnsi="Arial" w:cs="Arial"/>
          <w:sz w:val="24"/>
          <w:szCs w:val="24"/>
        </w:rPr>
        <w:t xml:space="preserve"> beültetése, kiesett (trauma) fogak visszaültetése </w:t>
      </w:r>
    </w:p>
    <w:p w:rsidR="00FF7B6C" w:rsidRPr="00FF7B6C" w:rsidRDefault="00FF7B6C" w:rsidP="00FF7B6C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FF7B6C">
        <w:rPr>
          <w:rFonts w:ascii="Arial" w:hAnsi="Arial" w:cs="Arial"/>
          <w:sz w:val="24"/>
          <w:szCs w:val="24"/>
        </w:rPr>
        <w:t xml:space="preserve">- Kifejezetten a gyökér csúcsa körül végzett sebészeti beavatkozások és a gyökércsatorna megmunkálása a csúcsi területen </w:t>
      </w:r>
    </w:p>
    <w:p w:rsidR="00FF7B6C" w:rsidRPr="00FF7B6C" w:rsidRDefault="00FF7B6C" w:rsidP="00FF7B6C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FF7B6C">
        <w:rPr>
          <w:rFonts w:ascii="Arial" w:hAnsi="Arial" w:cs="Arial"/>
          <w:sz w:val="24"/>
          <w:szCs w:val="24"/>
        </w:rPr>
        <w:t xml:space="preserve">- Fogszabályozó gyűrűk (de nem </w:t>
      </w:r>
      <w:proofErr w:type="spellStart"/>
      <w:r w:rsidRPr="00FF7B6C">
        <w:rPr>
          <w:rFonts w:ascii="Arial" w:hAnsi="Arial" w:cs="Arial"/>
          <w:sz w:val="24"/>
          <w:szCs w:val="24"/>
        </w:rPr>
        <w:t>bracketek</w:t>
      </w:r>
      <w:proofErr w:type="spellEnd"/>
      <w:r w:rsidRPr="00FF7B6C">
        <w:rPr>
          <w:rFonts w:ascii="Arial" w:hAnsi="Arial" w:cs="Arial"/>
          <w:sz w:val="24"/>
          <w:szCs w:val="24"/>
        </w:rPr>
        <w:t xml:space="preserve">) ínyszél alatti elhelyezése </w:t>
      </w:r>
    </w:p>
    <w:p w:rsidR="00FF7B6C" w:rsidRPr="00FF7B6C" w:rsidRDefault="00FF7B6C" w:rsidP="00FF7B6C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FF7B6C">
        <w:rPr>
          <w:rFonts w:ascii="Arial" w:hAnsi="Arial" w:cs="Arial"/>
          <w:sz w:val="24"/>
          <w:szCs w:val="24"/>
        </w:rPr>
        <w:t xml:space="preserve">- A fog körüli </w:t>
      </w:r>
      <w:proofErr w:type="spellStart"/>
      <w:r w:rsidRPr="00FF7B6C">
        <w:rPr>
          <w:rFonts w:ascii="Arial" w:hAnsi="Arial" w:cs="Arial"/>
          <w:sz w:val="24"/>
          <w:szCs w:val="24"/>
        </w:rPr>
        <w:t>periodontalis</w:t>
      </w:r>
      <w:proofErr w:type="spellEnd"/>
      <w:r w:rsidRPr="00FF7B6C">
        <w:rPr>
          <w:rFonts w:ascii="Arial" w:hAnsi="Arial" w:cs="Arial"/>
          <w:sz w:val="24"/>
          <w:szCs w:val="24"/>
        </w:rPr>
        <w:t xml:space="preserve"> résbe, a </w:t>
      </w:r>
      <w:proofErr w:type="spellStart"/>
      <w:r w:rsidRPr="00FF7B6C">
        <w:rPr>
          <w:rFonts w:ascii="Arial" w:hAnsi="Arial" w:cs="Arial"/>
          <w:sz w:val="24"/>
          <w:szCs w:val="24"/>
        </w:rPr>
        <w:t>ligamentumok</w:t>
      </w:r>
      <w:proofErr w:type="spellEnd"/>
      <w:r w:rsidRPr="00FF7B6C">
        <w:rPr>
          <w:rFonts w:ascii="Arial" w:hAnsi="Arial" w:cs="Arial"/>
          <w:sz w:val="24"/>
          <w:szCs w:val="24"/>
        </w:rPr>
        <w:t xml:space="preserve"> közé adott helyi érzéstelenítő injekció) </w:t>
      </w:r>
    </w:p>
    <w:p w:rsidR="00FF7B6C" w:rsidRDefault="00FF7B6C" w:rsidP="00FF7B6C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FF7B6C">
        <w:rPr>
          <w:rFonts w:ascii="Arial" w:hAnsi="Arial" w:cs="Arial"/>
          <w:sz w:val="24"/>
          <w:szCs w:val="24"/>
        </w:rPr>
        <w:t xml:space="preserve">- Fogak vagy fogászati </w:t>
      </w:r>
      <w:proofErr w:type="spellStart"/>
      <w:r w:rsidRPr="00FF7B6C">
        <w:rPr>
          <w:rFonts w:ascii="Arial" w:hAnsi="Arial" w:cs="Arial"/>
          <w:sz w:val="24"/>
          <w:szCs w:val="24"/>
        </w:rPr>
        <w:t>implantatumok</w:t>
      </w:r>
      <w:proofErr w:type="spellEnd"/>
      <w:r w:rsidRPr="00FF7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7B6C">
        <w:rPr>
          <w:rFonts w:ascii="Arial" w:hAnsi="Arial" w:cs="Arial"/>
          <w:sz w:val="24"/>
          <w:szCs w:val="24"/>
        </w:rPr>
        <w:t>profilaktikus</w:t>
      </w:r>
      <w:proofErr w:type="spellEnd"/>
      <w:r w:rsidRPr="00FF7B6C">
        <w:rPr>
          <w:rFonts w:ascii="Arial" w:hAnsi="Arial" w:cs="Arial"/>
          <w:sz w:val="24"/>
          <w:szCs w:val="24"/>
        </w:rPr>
        <w:t xml:space="preserve"> tisztítása, ha annak során vérzés várható)</w:t>
      </w:r>
    </w:p>
    <w:p w:rsidR="00FF7B6C" w:rsidRDefault="00FF7B6C" w:rsidP="00FF7B6C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:rsidR="00FF7B6C" w:rsidRPr="00FF7B6C" w:rsidRDefault="00FF7B6C" w:rsidP="00FF7B6C">
      <w:pPr>
        <w:spacing w:before="240" w:after="0" w:line="240" w:lineRule="auto"/>
        <w:rPr>
          <w:rFonts w:ascii="Arial" w:hAnsi="Arial" w:cs="Arial"/>
          <w:b/>
          <w:sz w:val="32"/>
          <w:szCs w:val="32"/>
        </w:rPr>
      </w:pPr>
      <w:r w:rsidRPr="00FF7B6C">
        <w:rPr>
          <w:rFonts w:ascii="Arial" w:hAnsi="Arial" w:cs="Arial"/>
          <w:b/>
          <w:sz w:val="32"/>
          <w:szCs w:val="32"/>
        </w:rPr>
        <w:t>Fogászati beavatkozások, ahol nem indokolt a profilaxis</w:t>
      </w:r>
    </w:p>
    <w:p w:rsidR="00FF7B6C" w:rsidRPr="00FF7B6C" w:rsidRDefault="00FF7B6C" w:rsidP="00FF7B6C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FF7B6C">
        <w:rPr>
          <w:rFonts w:ascii="Arial" w:hAnsi="Arial" w:cs="Arial"/>
          <w:sz w:val="24"/>
          <w:szCs w:val="24"/>
        </w:rPr>
        <w:t xml:space="preserve">- Konzerváló fogászat és fogpótlás </w:t>
      </w:r>
      <w:proofErr w:type="spellStart"/>
      <w:r w:rsidRPr="00FF7B6C">
        <w:rPr>
          <w:rFonts w:ascii="Arial" w:hAnsi="Arial" w:cs="Arial"/>
          <w:sz w:val="24"/>
          <w:szCs w:val="24"/>
        </w:rPr>
        <w:t>retrakciós</w:t>
      </w:r>
      <w:proofErr w:type="spellEnd"/>
      <w:r w:rsidRPr="00FF7B6C">
        <w:rPr>
          <w:rFonts w:ascii="Arial" w:hAnsi="Arial" w:cs="Arial"/>
          <w:sz w:val="24"/>
          <w:szCs w:val="24"/>
        </w:rPr>
        <w:t xml:space="preserve"> fonal behelyezésével vagy anélkül, ide tartozik a szuvas fogak kezelése (fogtömés) ill. a hiányzó fogak pótlása. </w:t>
      </w:r>
    </w:p>
    <w:p w:rsidR="00FF7B6C" w:rsidRPr="00FF7B6C" w:rsidRDefault="00FF7B6C" w:rsidP="00FF7B6C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FF7B6C">
        <w:rPr>
          <w:rFonts w:ascii="Arial" w:hAnsi="Arial" w:cs="Arial"/>
          <w:sz w:val="24"/>
          <w:szCs w:val="24"/>
        </w:rPr>
        <w:t xml:space="preserve">- Helyi érzéstelenítő injekciók (kivéve a </w:t>
      </w:r>
      <w:proofErr w:type="spellStart"/>
      <w:r w:rsidRPr="00FF7B6C">
        <w:rPr>
          <w:rFonts w:ascii="Arial" w:hAnsi="Arial" w:cs="Arial"/>
          <w:sz w:val="24"/>
          <w:szCs w:val="24"/>
        </w:rPr>
        <w:t>ligamentumok</w:t>
      </w:r>
      <w:proofErr w:type="spellEnd"/>
      <w:r w:rsidRPr="00FF7B6C">
        <w:rPr>
          <w:rFonts w:ascii="Arial" w:hAnsi="Arial" w:cs="Arial"/>
          <w:sz w:val="24"/>
          <w:szCs w:val="24"/>
        </w:rPr>
        <w:t xml:space="preserve"> közé adott) </w:t>
      </w:r>
    </w:p>
    <w:p w:rsidR="00FF7B6C" w:rsidRPr="00FF7B6C" w:rsidRDefault="00FF7B6C" w:rsidP="00FF7B6C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FF7B6C">
        <w:rPr>
          <w:rFonts w:ascii="Arial" w:hAnsi="Arial" w:cs="Arial"/>
          <w:sz w:val="24"/>
          <w:szCs w:val="24"/>
        </w:rPr>
        <w:t xml:space="preserve">- gyökércsatornán belül végzett kezelés </w:t>
      </w:r>
    </w:p>
    <w:p w:rsidR="00FF7B6C" w:rsidRPr="00FF7B6C" w:rsidRDefault="00FF7B6C" w:rsidP="00FF7B6C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FF7B6C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FF7B6C">
        <w:rPr>
          <w:rFonts w:ascii="Arial" w:hAnsi="Arial" w:cs="Arial"/>
          <w:sz w:val="24"/>
          <w:szCs w:val="24"/>
        </w:rPr>
        <w:t>Kofferdam</w:t>
      </w:r>
      <w:proofErr w:type="spellEnd"/>
      <w:r w:rsidRPr="00FF7B6C">
        <w:rPr>
          <w:rFonts w:ascii="Arial" w:hAnsi="Arial" w:cs="Arial"/>
          <w:sz w:val="24"/>
          <w:szCs w:val="24"/>
        </w:rPr>
        <w:t xml:space="preserve"> felhelyezés </w:t>
      </w:r>
    </w:p>
    <w:p w:rsidR="00FF7B6C" w:rsidRPr="00FF7B6C" w:rsidRDefault="00FF7B6C" w:rsidP="00FF7B6C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FF7B6C">
        <w:rPr>
          <w:rFonts w:ascii="Arial" w:hAnsi="Arial" w:cs="Arial"/>
          <w:sz w:val="24"/>
          <w:szCs w:val="24"/>
        </w:rPr>
        <w:t xml:space="preserve">- Műtét utáni varratszedés </w:t>
      </w:r>
    </w:p>
    <w:p w:rsidR="00FF7B6C" w:rsidRPr="00FF7B6C" w:rsidRDefault="00FF7B6C" w:rsidP="00FF7B6C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FF7B6C">
        <w:rPr>
          <w:rFonts w:ascii="Arial" w:hAnsi="Arial" w:cs="Arial"/>
          <w:sz w:val="24"/>
          <w:szCs w:val="24"/>
        </w:rPr>
        <w:t xml:space="preserve">- Kivehető fogpótlások és fogszabályozó készülékek behelyezése </w:t>
      </w:r>
    </w:p>
    <w:p w:rsidR="00FF7B6C" w:rsidRPr="00FF7B6C" w:rsidRDefault="00FF7B6C" w:rsidP="00FF7B6C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FF7B6C">
        <w:rPr>
          <w:rFonts w:ascii="Arial" w:hAnsi="Arial" w:cs="Arial"/>
          <w:sz w:val="24"/>
          <w:szCs w:val="24"/>
        </w:rPr>
        <w:t xml:space="preserve">- Lenyomatvétel </w:t>
      </w:r>
    </w:p>
    <w:p w:rsidR="00FF7B6C" w:rsidRPr="00FF7B6C" w:rsidRDefault="00FF7B6C" w:rsidP="00FF7B6C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FF7B6C">
        <w:rPr>
          <w:rFonts w:ascii="Arial" w:hAnsi="Arial" w:cs="Arial"/>
          <w:sz w:val="24"/>
          <w:szCs w:val="24"/>
        </w:rPr>
        <w:t xml:space="preserve">- Fluoridos kezelések </w:t>
      </w:r>
    </w:p>
    <w:p w:rsidR="00FF7B6C" w:rsidRPr="00FF7B6C" w:rsidRDefault="00FF7B6C" w:rsidP="00FF7B6C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FF7B6C">
        <w:rPr>
          <w:rFonts w:ascii="Arial" w:hAnsi="Arial" w:cs="Arial"/>
          <w:sz w:val="24"/>
          <w:szCs w:val="24"/>
        </w:rPr>
        <w:t xml:space="preserve">- Fogászati röntgenvizsgálat  </w:t>
      </w:r>
    </w:p>
    <w:p w:rsidR="00FF7B6C" w:rsidRPr="00FF7B6C" w:rsidRDefault="00FF7B6C" w:rsidP="00FF7B6C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FF7B6C">
        <w:rPr>
          <w:rFonts w:ascii="Arial" w:hAnsi="Arial" w:cs="Arial"/>
          <w:sz w:val="24"/>
          <w:szCs w:val="24"/>
        </w:rPr>
        <w:t xml:space="preserve">- Fogszabályozó készülék állítása  </w:t>
      </w:r>
    </w:p>
    <w:p w:rsidR="00FF7B6C" w:rsidRDefault="00FF7B6C" w:rsidP="00FF7B6C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FF7B6C">
        <w:rPr>
          <w:rFonts w:ascii="Arial" w:hAnsi="Arial" w:cs="Arial"/>
          <w:sz w:val="24"/>
          <w:szCs w:val="24"/>
        </w:rPr>
        <w:t>- Tejfogak kiesése</w:t>
      </w:r>
    </w:p>
    <w:p w:rsidR="000F5EF6" w:rsidRDefault="000F5EF6" w:rsidP="00FF7B6C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F7B6C" w:rsidRPr="000F5EF6" w:rsidRDefault="000F5EF6" w:rsidP="00FF7B6C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0F5EF6">
        <w:rPr>
          <w:rFonts w:ascii="Arial" w:hAnsi="Arial" w:cs="Arial"/>
          <w:sz w:val="24"/>
          <w:szCs w:val="24"/>
        </w:rPr>
        <w:t xml:space="preserve">- </w:t>
      </w:r>
      <w:r w:rsidR="00FF7B6C" w:rsidRPr="000F5EF6">
        <w:rPr>
          <w:rFonts w:ascii="Arial" w:hAnsi="Arial" w:cs="Arial"/>
          <w:sz w:val="24"/>
          <w:szCs w:val="24"/>
        </w:rPr>
        <w:t xml:space="preserve">Nem indokolt a profilaxis traumás </w:t>
      </w:r>
      <w:r w:rsidR="00FF7B6C" w:rsidRPr="000F5EF6">
        <w:rPr>
          <w:rFonts w:ascii="Arial" w:hAnsi="Arial" w:cs="Arial"/>
          <w:sz w:val="24"/>
          <w:szCs w:val="24"/>
        </w:rPr>
        <w:t>ajaksérülés esetén</w:t>
      </w:r>
    </w:p>
    <w:p w:rsidR="00FF7B6C" w:rsidRDefault="00FF7B6C" w:rsidP="00FF7B6C">
      <w:pPr>
        <w:spacing w:before="240"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Az alkalmazandó profilaxis</w:t>
      </w:r>
    </w:p>
    <w:p w:rsidR="00FF7B6C" w:rsidRPr="00FF7B6C" w:rsidRDefault="00FF7B6C" w:rsidP="00FF7B6C">
      <w:pPr>
        <w:spacing w:before="240" w:after="0" w:line="240" w:lineRule="auto"/>
        <w:rPr>
          <w:rFonts w:ascii="Arial" w:hAnsi="Arial" w:cs="Arial"/>
          <w:b/>
          <w:sz w:val="32"/>
          <w:szCs w:val="32"/>
        </w:rPr>
      </w:pPr>
    </w:p>
    <w:p w:rsidR="00FF7B6C" w:rsidRPr="000F5EF6" w:rsidRDefault="000F5EF6" w:rsidP="000F5EF6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FF7B6C" w:rsidRPr="000F5EF6">
        <w:rPr>
          <w:rFonts w:ascii="Arial" w:hAnsi="Arial" w:cs="Arial"/>
          <w:sz w:val="24"/>
          <w:szCs w:val="24"/>
        </w:rPr>
        <w:t>gyszeri dózis fél órával a beavatkozás el</w:t>
      </w:r>
      <w:r>
        <w:rPr>
          <w:rFonts w:ascii="Arial" w:hAnsi="Arial" w:cs="Arial"/>
          <w:sz w:val="24"/>
          <w:szCs w:val="24"/>
        </w:rPr>
        <w:t>őtt az alábbi antibiotikumokból</w:t>
      </w:r>
    </w:p>
    <w:p w:rsidR="00FF7B6C" w:rsidRPr="00FF7B6C" w:rsidRDefault="00FF7B6C" w:rsidP="00FF7B6C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0F5EF6">
        <w:rPr>
          <w:rFonts w:ascii="Arial" w:hAnsi="Arial" w:cs="Arial"/>
          <w:b/>
          <w:sz w:val="24"/>
          <w:szCs w:val="24"/>
        </w:rPr>
        <w:t>Általában</w:t>
      </w:r>
      <w:r w:rsidRPr="00FF7B6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F7B6C">
        <w:rPr>
          <w:rFonts w:ascii="Arial" w:hAnsi="Arial" w:cs="Arial"/>
          <w:sz w:val="24"/>
          <w:szCs w:val="24"/>
        </w:rPr>
        <w:t>amoxicillin</w:t>
      </w:r>
      <w:proofErr w:type="spellEnd"/>
      <w:r w:rsidRPr="00FF7B6C">
        <w:rPr>
          <w:rFonts w:ascii="Arial" w:hAnsi="Arial" w:cs="Arial"/>
          <w:sz w:val="24"/>
          <w:szCs w:val="24"/>
        </w:rPr>
        <w:t xml:space="preserve"> 50 mg/</w:t>
      </w:r>
      <w:proofErr w:type="spellStart"/>
      <w:r w:rsidRPr="00FF7B6C">
        <w:rPr>
          <w:rFonts w:ascii="Arial" w:hAnsi="Arial" w:cs="Arial"/>
          <w:sz w:val="24"/>
          <w:szCs w:val="24"/>
        </w:rPr>
        <w:t>ttkg</w:t>
      </w:r>
      <w:proofErr w:type="spellEnd"/>
      <w:r w:rsidRPr="00FF7B6C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FF7B6C">
        <w:rPr>
          <w:rFonts w:ascii="Arial" w:hAnsi="Arial" w:cs="Arial"/>
          <w:sz w:val="24"/>
          <w:szCs w:val="24"/>
        </w:rPr>
        <w:t>os</w:t>
      </w:r>
      <w:proofErr w:type="spellEnd"/>
      <w:r w:rsidRPr="00FF7B6C">
        <w:rPr>
          <w:rFonts w:ascii="Arial" w:hAnsi="Arial" w:cs="Arial"/>
          <w:sz w:val="24"/>
          <w:szCs w:val="24"/>
        </w:rPr>
        <w:t xml:space="preserve"> </w:t>
      </w:r>
    </w:p>
    <w:p w:rsidR="00FF7B6C" w:rsidRPr="00FF7B6C" w:rsidRDefault="00FF7B6C" w:rsidP="00FF7B6C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FF7B6C">
        <w:rPr>
          <w:rFonts w:ascii="Arial" w:hAnsi="Arial" w:cs="Arial"/>
          <w:sz w:val="24"/>
          <w:szCs w:val="24"/>
        </w:rPr>
        <w:t xml:space="preserve">Ha per </w:t>
      </w:r>
      <w:proofErr w:type="spellStart"/>
      <w:r w:rsidRPr="00FF7B6C">
        <w:rPr>
          <w:rFonts w:ascii="Arial" w:hAnsi="Arial" w:cs="Arial"/>
          <w:sz w:val="24"/>
          <w:szCs w:val="24"/>
        </w:rPr>
        <w:t>os</w:t>
      </w:r>
      <w:proofErr w:type="spellEnd"/>
      <w:r w:rsidRPr="00FF7B6C">
        <w:rPr>
          <w:rFonts w:ascii="Arial" w:hAnsi="Arial" w:cs="Arial"/>
          <w:sz w:val="24"/>
          <w:szCs w:val="24"/>
        </w:rPr>
        <w:t xml:space="preserve"> gyógyszer nem adható: </w:t>
      </w:r>
      <w:proofErr w:type="spellStart"/>
      <w:r w:rsidRPr="00FF7B6C">
        <w:rPr>
          <w:rFonts w:ascii="Arial" w:hAnsi="Arial" w:cs="Arial"/>
          <w:sz w:val="24"/>
          <w:szCs w:val="24"/>
        </w:rPr>
        <w:t>ampicillin</w:t>
      </w:r>
      <w:proofErr w:type="spellEnd"/>
      <w:r w:rsidRPr="00FF7B6C">
        <w:rPr>
          <w:rFonts w:ascii="Arial" w:hAnsi="Arial" w:cs="Arial"/>
          <w:sz w:val="24"/>
          <w:szCs w:val="24"/>
        </w:rPr>
        <w:t xml:space="preserve"> 50 mg/</w:t>
      </w:r>
      <w:proofErr w:type="spellStart"/>
      <w:r w:rsidRPr="00FF7B6C">
        <w:rPr>
          <w:rFonts w:ascii="Arial" w:hAnsi="Arial" w:cs="Arial"/>
          <w:sz w:val="24"/>
          <w:szCs w:val="24"/>
        </w:rPr>
        <w:t>ttkg</w:t>
      </w:r>
      <w:proofErr w:type="spellEnd"/>
      <w:r w:rsidRPr="00FF7B6C">
        <w:rPr>
          <w:rFonts w:ascii="Arial" w:hAnsi="Arial" w:cs="Arial"/>
          <w:sz w:val="24"/>
          <w:szCs w:val="24"/>
        </w:rPr>
        <w:t xml:space="preserve"> iv </w:t>
      </w:r>
    </w:p>
    <w:p w:rsidR="00FF7B6C" w:rsidRPr="00FF7B6C" w:rsidRDefault="00FF7B6C" w:rsidP="00FF7B6C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0F5EF6">
        <w:rPr>
          <w:rFonts w:ascii="Arial" w:hAnsi="Arial" w:cs="Arial"/>
          <w:b/>
          <w:sz w:val="24"/>
          <w:szCs w:val="24"/>
        </w:rPr>
        <w:t>Penicillin-allergia esetén</w:t>
      </w:r>
      <w:r w:rsidRPr="00FF7B6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F7B6C">
        <w:rPr>
          <w:rFonts w:ascii="Arial" w:hAnsi="Arial" w:cs="Arial"/>
          <w:sz w:val="24"/>
          <w:szCs w:val="24"/>
        </w:rPr>
        <w:t>clindamycin</w:t>
      </w:r>
      <w:proofErr w:type="spellEnd"/>
      <w:r w:rsidRPr="00FF7B6C">
        <w:rPr>
          <w:rFonts w:ascii="Arial" w:hAnsi="Arial" w:cs="Arial"/>
          <w:sz w:val="24"/>
          <w:szCs w:val="24"/>
        </w:rPr>
        <w:t xml:space="preserve"> 20 mg/</w:t>
      </w:r>
      <w:proofErr w:type="spellStart"/>
      <w:r w:rsidRPr="00FF7B6C">
        <w:rPr>
          <w:rFonts w:ascii="Arial" w:hAnsi="Arial" w:cs="Arial"/>
          <w:sz w:val="24"/>
          <w:szCs w:val="24"/>
        </w:rPr>
        <w:t>ttkg</w:t>
      </w:r>
      <w:proofErr w:type="spellEnd"/>
      <w:r w:rsidRPr="00FF7B6C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FF7B6C">
        <w:rPr>
          <w:rFonts w:ascii="Arial" w:hAnsi="Arial" w:cs="Arial"/>
          <w:sz w:val="24"/>
          <w:szCs w:val="24"/>
        </w:rPr>
        <w:t>os</w:t>
      </w:r>
      <w:proofErr w:type="spellEnd"/>
      <w:r w:rsidRPr="00FF7B6C">
        <w:rPr>
          <w:rFonts w:ascii="Arial" w:hAnsi="Arial" w:cs="Arial"/>
          <w:sz w:val="24"/>
          <w:szCs w:val="24"/>
        </w:rPr>
        <w:t xml:space="preserve">, vagy </w:t>
      </w:r>
      <w:proofErr w:type="spellStart"/>
      <w:r w:rsidRPr="00FF7B6C">
        <w:rPr>
          <w:rFonts w:ascii="Arial" w:hAnsi="Arial" w:cs="Arial"/>
          <w:sz w:val="24"/>
          <w:szCs w:val="24"/>
        </w:rPr>
        <w:t>azithromycin</w:t>
      </w:r>
      <w:proofErr w:type="spellEnd"/>
      <w:r w:rsidRPr="00FF7B6C">
        <w:rPr>
          <w:rFonts w:ascii="Arial" w:hAnsi="Arial" w:cs="Arial"/>
          <w:sz w:val="24"/>
          <w:szCs w:val="24"/>
        </w:rPr>
        <w:t xml:space="preserve"> 15 mg/</w:t>
      </w:r>
      <w:proofErr w:type="spellStart"/>
      <w:r w:rsidRPr="00FF7B6C">
        <w:rPr>
          <w:rFonts w:ascii="Arial" w:hAnsi="Arial" w:cs="Arial"/>
          <w:sz w:val="24"/>
          <w:szCs w:val="24"/>
        </w:rPr>
        <w:t>ttkg</w:t>
      </w:r>
      <w:proofErr w:type="spellEnd"/>
      <w:r w:rsidRPr="00FF7B6C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FF7B6C">
        <w:rPr>
          <w:rFonts w:ascii="Arial" w:hAnsi="Arial" w:cs="Arial"/>
          <w:sz w:val="24"/>
          <w:szCs w:val="24"/>
        </w:rPr>
        <w:t>os</w:t>
      </w:r>
      <w:proofErr w:type="spellEnd"/>
      <w:r w:rsidRPr="00FF7B6C">
        <w:rPr>
          <w:rFonts w:ascii="Arial" w:hAnsi="Arial" w:cs="Arial"/>
          <w:sz w:val="24"/>
          <w:szCs w:val="24"/>
        </w:rPr>
        <w:t xml:space="preserve">, vagy </w:t>
      </w:r>
      <w:proofErr w:type="spellStart"/>
      <w:r w:rsidRPr="00FF7B6C">
        <w:rPr>
          <w:rFonts w:ascii="Arial" w:hAnsi="Arial" w:cs="Arial"/>
          <w:sz w:val="24"/>
          <w:szCs w:val="24"/>
        </w:rPr>
        <w:t>clarithromycin</w:t>
      </w:r>
      <w:proofErr w:type="spellEnd"/>
      <w:r w:rsidRPr="00FF7B6C">
        <w:rPr>
          <w:rFonts w:ascii="Arial" w:hAnsi="Arial" w:cs="Arial"/>
          <w:sz w:val="24"/>
          <w:szCs w:val="24"/>
        </w:rPr>
        <w:t xml:space="preserve"> 15 mg/</w:t>
      </w:r>
      <w:proofErr w:type="spellStart"/>
      <w:r w:rsidRPr="00FF7B6C">
        <w:rPr>
          <w:rFonts w:ascii="Arial" w:hAnsi="Arial" w:cs="Arial"/>
          <w:sz w:val="24"/>
          <w:szCs w:val="24"/>
        </w:rPr>
        <w:t>ttkg</w:t>
      </w:r>
      <w:proofErr w:type="spellEnd"/>
      <w:r w:rsidRPr="00FF7B6C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FF7B6C">
        <w:rPr>
          <w:rFonts w:ascii="Arial" w:hAnsi="Arial" w:cs="Arial"/>
          <w:sz w:val="24"/>
          <w:szCs w:val="24"/>
        </w:rPr>
        <w:t>os</w:t>
      </w:r>
      <w:proofErr w:type="spellEnd"/>
      <w:r w:rsidRPr="00FF7B6C">
        <w:rPr>
          <w:rFonts w:ascii="Arial" w:hAnsi="Arial" w:cs="Arial"/>
          <w:sz w:val="24"/>
          <w:szCs w:val="24"/>
        </w:rPr>
        <w:t xml:space="preserve"> </w:t>
      </w:r>
    </w:p>
    <w:p w:rsidR="00FF7B6C" w:rsidRPr="00FF7B6C" w:rsidRDefault="00FF7B6C" w:rsidP="00FF7B6C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FF7B6C">
        <w:rPr>
          <w:rFonts w:ascii="Arial" w:hAnsi="Arial" w:cs="Arial"/>
          <w:sz w:val="24"/>
          <w:szCs w:val="24"/>
        </w:rPr>
        <w:t xml:space="preserve">Penicillin-allergia esetén, ha per </w:t>
      </w:r>
      <w:proofErr w:type="spellStart"/>
      <w:r w:rsidRPr="00FF7B6C">
        <w:rPr>
          <w:rFonts w:ascii="Arial" w:hAnsi="Arial" w:cs="Arial"/>
          <w:sz w:val="24"/>
          <w:szCs w:val="24"/>
        </w:rPr>
        <w:t>os</w:t>
      </w:r>
      <w:proofErr w:type="spellEnd"/>
      <w:r w:rsidRPr="00FF7B6C">
        <w:rPr>
          <w:rFonts w:ascii="Arial" w:hAnsi="Arial" w:cs="Arial"/>
          <w:sz w:val="24"/>
          <w:szCs w:val="24"/>
        </w:rPr>
        <w:t xml:space="preserve"> gyógyszer nem adható: </w:t>
      </w:r>
      <w:proofErr w:type="spellStart"/>
      <w:r w:rsidRPr="00FF7B6C">
        <w:rPr>
          <w:rFonts w:ascii="Arial" w:hAnsi="Arial" w:cs="Arial"/>
          <w:sz w:val="24"/>
          <w:szCs w:val="24"/>
        </w:rPr>
        <w:t>clindamycin</w:t>
      </w:r>
      <w:proofErr w:type="spellEnd"/>
      <w:r w:rsidRPr="00FF7B6C">
        <w:rPr>
          <w:rFonts w:ascii="Arial" w:hAnsi="Arial" w:cs="Arial"/>
          <w:sz w:val="24"/>
          <w:szCs w:val="24"/>
        </w:rPr>
        <w:t xml:space="preserve"> 20 mg/</w:t>
      </w:r>
      <w:proofErr w:type="spellStart"/>
      <w:r w:rsidRPr="00FF7B6C">
        <w:rPr>
          <w:rFonts w:ascii="Arial" w:hAnsi="Arial" w:cs="Arial"/>
          <w:sz w:val="24"/>
          <w:szCs w:val="24"/>
        </w:rPr>
        <w:t>ttkg</w:t>
      </w:r>
      <w:proofErr w:type="spellEnd"/>
      <w:r w:rsidRPr="00FF7B6C">
        <w:rPr>
          <w:rFonts w:ascii="Arial" w:hAnsi="Arial" w:cs="Arial"/>
          <w:sz w:val="24"/>
          <w:szCs w:val="24"/>
        </w:rPr>
        <w:t xml:space="preserve"> iv.</w:t>
      </w:r>
    </w:p>
    <w:p w:rsidR="000F5EF6" w:rsidRDefault="000F5EF6" w:rsidP="00FF7B6C">
      <w:pPr>
        <w:spacing w:before="240" w:after="0" w:line="240" w:lineRule="auto"/>
        <w:rPr>
          <w:rFonts w:ascii="Arial" w:hAnsi="Arial" w:cs="Arial"/>
          <w:b/>
          <w:sz w:val="32"/>
          <w:szCs w:val="24"/>
        </w:rPr>
      </w:pPr>
    </w:p>
    <w:p w:rsidR="00FF7B6C" w:rsidRPr="00FF7B6C" w:rsidRDefault="00FF7B6C" w:rsidP="00FF7B6C">
      <w:pPr>
        <w:spacing w:before="240" w:after="0" w:line="240" w:lineRule="auto"/>
        <w:rPr>
          <w:rFonts w:ascii="Arial" w:hAnsi="Arial" w:cs="Arial"/>
          <w:b/>
          <w:sz w:val="32"/>
          <w:szCs w:val="24"/>
        </w:rPr>
      </w:pPr>
      <w:r w:rsidRPr="00FF7B6C">
        <w:rPr>
          <w:rFonts w:ascii="Arial" w:hAnsi="Arial" w:cs="Arial"/>
          <w:b/>
          <w:sz w:val="32"/>
          <w:szCs w:val="24"/>
        </w:rPr>
        <w:t xml:space="preserve">Infekciós </w:t>
      </w:r>
      <w:proofErr w:type="spellStart"/>
      <w:r w:rsidRPr="00FF7B6C">
        <w:rPr>
          <w:rFonts w:ascii="Arial" w:hAnsi="Arial" w:cs="Arial"/>
          <w:b/>
          <w:sz w:val="32"/>
          <w:szCs w:val="24"/>
        </w:rPr>
        <w:t>endocarditis</w:t>
      </w:r>
      <w:proofErr w:type="spellEnd"/>
      <w:r w:rsidRPr="00FF7B6C">
        <w:rPr>
          <w:rFonts w:ascii="Arial" w:hAnsi="Arial" w:cs="Arial"/>
          <w:b/>
          <w:sz w:val="32"/>
          <w:szCs w:val="24"/>
        </w:rPr>
        <w:t xml:space="preserve"> szempontjából</w:t>
      </w:r>
    </w:p>
    <w:p w:rsidR="00FF7B6C" w:rsidRPr="000F5EF6" w:rsidRDefault="00FF7B6C" w:rsidP="00FF7B6C">
      <w:pPr>
        <w:spacing w:before="240" w:after="0" w:line="240" w:lineRule="auto"/>
        <w:rPr>
          <w:rFonts w:ascii="Arial" w:hAnsi="Arial" w:cs="Arial"/>
          <w:b/>
          <w:sz w:val="24"/>
          <w:szCs w:val="24"/>
        </w:rPr>
      </w:pPr>
      <w:r w:rsidRPr="000F5EF6">
        <w:rPr>
          <w:rFonts w:ascii="Arial" w:hAnsi="Arial" w:cs="Arial"/>
          <w:b/>
          <w:sz w:val="24"/>
          <w:szCs w:val="24"/>
        </w:rPr>
        <w:t>N</w:t>
      </w:r>
      <w:r w:rsidRPr="000F5EF6">
        <w:rPr>
          <w:rFonts w:ascii="Arial" w:hAnsi="Arial" w:cs="Arial"/>
          <w:b/>
          <w:sz w:val="24"/>
          <w:szCs w:val="24"/>
        </w:rPr>
        <w:t>agy kockázatot jelent</w:t>
      </w:r>
    </w:p>
    <w:p w:rsidR="00FF7B6C" w:rsidRPr="00FF7B6C" w:rsidRDefault="00FF7B6C" w:rsidP="00FF7B6C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FF7B6C">
        <w:rPr>
          <w:rFonts w:ascii="Arial" w:hAnsi="Arial" w:cs="Arial"/>
          <w:sz w:val="24"/>
          <w:szCs w:val="24"/>
        </w:rPr>
        <w:t xml:space="preserve">- Mechanikus műbillentyű, biológiai billentyű vagy </w:t>
      </w:r>
      <w:proofErr w:type="spellStart"/>
      <w:r w:rsidRPr="00FF7B6C">
        <w:rPr>
          <w:rFonts w:ascii="Arial" w:hAnsi="Arial" w:cs="Arial"/>
          <w:sz w:val="24"/>
          <w:szCs w:val="24"/>
        </w:rPr>
        <w:t>homograft</w:t>
      </w:r>
      <w:proofErr w:type="spellEnd"/>
      <w:r w:rsidRPr="00FF7B6C">
        <w:rPr>
          <w:rFonts w:ascii="Arial" w:hAnsi="Arial" w:cs="Arial"/>
          <w:sz w:val="24"/>
          <w:szCs w:val="24"/>
        </w:rPr>
        <w:t xml:space="preserve">, műanyag érpótlás, műanyag folt beültetése utáni állapot </w:t>
      </w:r>
    </w:p>
    <w:p w:rsidR="00FF7B6C" w:rsidRPr="00FF7B6C" w:rsidRDefault="00FF7B6C" w:rsidP="00FF7B6C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FF7B6C">
        <w:rPr>
          <w:rFonts w:ascii="Arial" w:hAnsi="Arial" w:cs="Arial"/>
          <w:sz w:val="24"/>
          <w:szCs w:val="24"/>
        </w:rPr>
        <w:t xml:space="preserve">- Idegen anyaggal (műtéti vagy intervenciós úton) rekonstruált szívbetegségek esetén a műtétet vagy intervenciót követő első 6 hónapban (a behelyezett idegen anyag mellett levő </w:t>
      </w:r>
      <w:proofErr w:type="spellStart"/>
      <w:r w:rsidRPr="00FF7B6C">
        <w:rPr>
          <w:rFonts w:ascii="Arial" w:hAnsi="Arial" w:cs="Arial"/>
          <w:sz w:val="24"/>
          <w:szCs w:val="24"/>
        </w:rPr>
        <w:t>reziduum</w:t>
      </w:r>
      <w:proofErr w:type="spellEnd"/>
      <w:r w:rsidRPr="00FF7B6C">
        <w:rPr>
          <w:rFonts w:ascii="Arial" w:hAnsi="Arial" w:cs="Arial"/>
          <w:sz w:val="24"/>
          <w:szCs w:val="24"/>
        </w:rPr>
        <w:t xml:space="preserve"> esetén élethossziglan) </w:t>
      </w:r>
    </w:p>
    <w:p w:rsidR="00FF7B6C" w:rsidRPr="00FF7B6C" w:rsidRDefault="00FF7B6C" w:rsidP="00FF7B6C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FF7B6C">
        <w:rPr>
          <w:rFonts w:ascii="Arial" w:hAnsi="Arial" w:cs="Arial"/>
          <w:sz w:val="24"/>
          <w:szCs w:val="24"/>
        </w:rPr>
        <w:t xml:space="preserve">- Korábban lezajlott infekciós </w:t>
      </w:r>
      <w:proofErr w:type="spellStart"/>
      <w:r w:rsidRPr="00FF7B6C">
        <w:rPr>
          <w:rFonts w:ascii="Arial" w:hAnsi="Arial" w:cs="Arial"/>
          <w:sz w:val="24"/>
          <w:szCs w:val="24"/>
        </w:rPr>
        <w:t>endocarditis</w:t>
      </w:r>
      <w:proofErr w:type="spellEnd"/>
      <w:r w:rsidRPr="00FF7B6C">
        <w:rPr>
          <w:rFonts w:ascii="Arial" w:hAnsi="Arial" w:cs="Arial"/>
          <w:sz w:val="24"/>
          <w:szCs w:val="24"/>
        </w:rPr>
        <w:t xml:space="preserve"> </w:t>
      </w:r>
    </w:p>
    <w:p w:rsidR="00FF7B6C" w:rsidRPr="00FF7B6C" w:rsidRDefault="00FF7B6C" w:rsidP="00FF7B6C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FF7B6C">
        <w:rPr>
          <w:rFonts w:ascii="Arial" w:hAnsi="Arial" w:cs="Arial"/>
          <w:sz w:val="24"/>
          <w:szCs w:val="24"/>
        </w:rPr>
        <w:t xml:space="preserve">- Cianózissal járó komplex szívfejlődési rendellenességek (pl. </w:t>
      </w:r>
      <w:proofErr w:type="spellStart"/>
      <w:r w:rsidRPr="00FF7B6C">
        <w:rPr>
          <w:rFonts w:ascii="Arial" w:hAnsi="Arial" w:cs="Arial"/>
          <w:sz w:val="24"/>
          <w:szCs w:val="24"/>
        </w:rPr>
        <w:t>Fallot</w:t>
      </w:r>
      <w:proofErr w:type="spellEnd"/>
      <w:r w:rsidRPr="00FF7B6C">
        <w:rPr>
          <w:rFonts w:ascii="Arial" w:hAnsi="Arial" w:cs="Arial"/>
          <w:sz w:val="24"/>
          <w:szCs w:val="24"/>
        </w:rPr>
        <w:t xml:space="preserve"> tetralógia, </w:t>
      </w:r>
      <w:proofErr w:type="spellStart"/>
      <w:r w:rsidRPr="00FF7B6C">
        <w:rPr>
          <w:rFonts w:ascii="Arial" w:hAnsi="Arial" w:cs="Arial"/>
          <w:sz w:val="24"/>
          <w:szCs w:val="24"/>
        </w:rPr>
        <w:t>nagyerek</w:t>
      </w:r>
      <w:proofErr w:type="spellEnd"/>
      <w:r w:rsidRPr="00FF7B6C">
        <w:rPr>
          <w:rFonts w:ascii="Arial" w:hAnsi="Arial" w:cs="Arial"/>
          <w:sz w:val="24"/>
          <w:szCs w:val="24"/>
        </w:rPr>
        <w:t xml:space="preserve"> teljes transzpozíciója, egykamrájú szív) – műtéti korrekció előtt, ill. műtét után, amennyiben van </w:t>
      </w:r>
      <w:proofErr w:type="spellStart"/>
      <w:r w:rsidRPr="00FF7B6C">
        <w:rPr>
          <w:rFonts w:ascii="Arial" w:hAnsi="Arial" w:cs="Arial"/>
          <w:sz w:val="24"/>
          <w:szCs w:val="24"/>
        </w:rPr>
        <w:t>reziduum</w:t>
      </w:r>
      <w:proofErr w:type="spellEnd"/>
      <w:r w:rsidRPr="00FF7B6C">
        <w:rPr>
          <w:rFonts w:ascii="Arial" w:hAnsi="Arial" w:cs="Arial"/>
          <w:sz w:val="24"/>
          <w:szCs w:val="24"/>
        </w:rPr>
        <w:t xml:space="preserve"> (maradványtünet)</w:t>
      </w:r>
    </w:p>
    <w:p w:rsidR="00DA4FB5" w:rsidRPr="00FF7B6C" w:rsidRDefault="00FF7B6C" w:rsidP="00FF7B6C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FF7B6C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FF7B6C">
        <w:rPr>
          <w:rFonts w:ascii="Arial" w:hAnsi="Arial" w:cs="Arial"/>
          <w:sz w:val="24"/>
          <w:szCs w:val="24"/>
        </w:rPr>
        <w:t>Szisztemo-pulmonális</w:t>
      </w:r>
      <w:proofErr w:type="spellEnd"/>
      <w:r w:rsidRPr="00FF7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7B6C">
        <w:rPr>
          <w:rFonts w:ascii="Arial" w:hAnsi="Arial" w:cs="Arial"/>
          <w:sz w:val="24"/>
          <w:szCs w:val="24"/>
        </w:rPr>
        <w:t>shuntök</w:t>
      </w:r>
      <w:proofErr w:type="spellEnd"/>
      <w:r w:rsidRPr="00FF7B6C">
        <w:rPr>
          <w:rFonts w:ascii="Arial" w:hAnsi="Arial" w:cs="Arial"/>
          <w:sz w:val="24"/>
          <w:szCs w:val="24"/>
        </w:rPr>
        <w:t xml:space="preserve"> vagy conduitok (</w:t>
      </w:r>
      <w:proofErr w:type="spellStart"/>
      <w:r w:rsidRPr="00FF7B6C">
        <w:rPr>
          <w:rFonts w:ascii="Arial" w:hAnsi="Arial" w:cs="Arial"/>
          <w:sz w:val="24"/>
          <w:szCs w:val="24"/>
        </w:rPr>
        <w:t>műerek</w:t>
      </w:r>
      <w:proofErr w:type="spellEnd"/>
      <w:r w:rsidRPr="00FF7B6C">
        <w:rPr>
          <w:rFonts w:ascii="Arial" w:hAnsi="Arial" w:cs="Arial"/>
          <w:sz w:val="24"/>
          <w:szCs w:val="24"/>
        </w:rPr>
        <w:t>) beültetése utáni állapot</w:t>
      </w:r>
    </w:p>
    <w:p w:rsidR="00FF7B6C" w:rsidRPr="00FF7B6C" w:rsidRDefault="00FF7B6C" w:rsidP="00FF7B6C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:rsidR="00FF7B6C" w:rsidRPr="000F5EF6" w:rsidRDefault="00FF7B6C" w:rsidP="00FF7B6C">
      <w:pPr>
        <w:pStyle w:val="NormlWeb"/>
        <w:spacing w:before="240" w:beforeAutospacing="0" w:after="0" w:afterAutospacing="0"/>
        <w:rPr>
          <w:rFonts w:ascii="Arial" w:hAnsi="Arial" w:cs="Arial"/>
          <w:b/>
          <w:color w:val="5A5D65"/>
        </w:rPr>
      </w:pPr>
      <w:r w:rsidRPr="000F5EF6">
        <w:rPr>
          <w:rFonts w:ascii="Arial" w:hAnsi="Arial" w:cs="Arial"/>
          <w:b/>
          <w:color w:val="5A5D65"/>
        </w:rPr>
        <w:t>Közepes kockázatot jelent</w:t>
      </w:r>
    </w:p>
    <w:p w:rsidR="00FF7B6C" w:rsidRPr="00FF7B6C" w:rsidRDefault="00FF7B6C" w:rsidP="00FF7B6C">
      <w:pPr>
        <w:pStyle w:val="NormlWeb"/>
        <w:spacing w:before="240" w:beforeAutospacing="0" w:after="0" w:afterAutospacing="0"/>
        <w:rPr>
          <w:rFonts w:ascii="Arial" w:hAnsi="Arial" w:cs="Arial"/>
          <w:color w:val="5A5D65"/>
        </w:rPr>
      </w:pPr>
      <w:r w:rsidRPr="00FF7B6C">
        <w:rPr>
          <w:rFonts w:ascii="Arial" w:hAnsi="Arial" w:cs="Arial"/>
          <w:color w:val="5A5D65"/>
        </w:rPr>
        <w:t>- A szerzett billentyűbetegségek</w:t>
      </w:r>
    </w:p>
    <w:p w:rsidR="00FF7B6C" w:rsidRPr="00FF7B6C" w:rsidRDefault="00FF7B6C" w:rsidP="00FF7B6C">
      <w:pPr>
        <w:pStyle w:val="NormlWeb"/>
        <w:spacing w:before="240" w:beforeAutospacing="0" w:after="0" w:afterAutospacing="0"/>
        <w:rPr>
          <w:rFonts w:ascii="Arial" w:hAnsi="Arial" w:cs="Arial"/>
          <w:color w:val="5A5D65"/>
        </w:rPr>
      </w:pPr>
      <w:r w:rsidRPr="00FF7B6C">
        <w:rPr>
          <w:rFonts w:ascii="Arial" w:hAnsi="Arial" w:cs="Arial"/>
          <w:color w:val="5A5D65"/>
        </w:rPr>
        <w:t xml:space="preserve">- </w:t>
      </w:r>
      <w:proofErr w:type="spellStart"/>
      <w:r w:rsidRPr="00FF7B6C">
        <w:rPr>
          <w:rFonts w:ascii="Arial" w:hAnsi="Arial" w:cs="Arial"/>
          <w:color w:val="5A5D65"/>
        </w:rPr>
        <w:t>Mitralis</w:t>
      </w:r>
      <w:proofErr w:type="spellEnd"/>
      <w:r w:rsidRPr="00FF7B6C">
        <w:rPr>
          <w:rFonts w:ascii="Arial" w:hAnsi="Arial" w:cs="Arial"/>
          <w:color w:val="5A5D65"/>
        </w:rPr>
        <w:t xml:space="preserve"> billentyű </w:t>
      </w:r>
      <w:proofErr w:type="spellStart"/>
      <w:r w:rsidRPr="00FF7B6C">
        <w:rPr>
          <w:rFonts w:ascii="Arial" w:hAnsi="Arial" w:cs="Arial"/>
          <w:color w:val="5A5D65"/>
        </w:rPr>
        <w:t>prolapsus</w:t>
      </w:r>
      <w:proofErr w:type="spellEnd"/>
      <w:r w:rsidRPr="00FF7B6C">
        <w:rPr>
          <w:rFonts w:ascii="Arial" w:hAnsi="Arial" w:cs="Arial"/>
          <w:color w:val="5A5D65"/>
        </w:rPr>
        <w:t xml:space="preserve"> </w:t>
      </w:r>
      <w:proofErr w:type="spellStart"/>
      <w:r w:rsidRPr="00FF7B6C">
        <w:rPr>
          <w:rFonts w:ascii="Arial" w:hAnsi="Arial" w:cs="Arial"/>
          <w:color w:val="5A5D65"/>
        </w:rPr>
        <w:t>regurgitációval</w:t>
      </w:r>
      <w:proofErr w:type="spellEnd"/>
      <w:r w:rsidRPr="00FF7B6C">
        <w:rPr>
          <w:rFonts w:ascii="Arial" w:hAnsi="Arial" w:cs="Arial"/>
          <w:color w:val="5A5D65"/>
        </w:rPr>
        <w:t xml:space="preserve"> és/vagy vaskos vitorlákkal</w:t>
      </w:r>
    </w:p>
    <w:p w:rsidR="00FF7B6C" w:rsidRPr="00FF7B6C" w:rsidRDefault="00FF7B6C" w:rsidP="00FF7B6C">
      <w:pPr>
        <w:pStyle w:val="NormlWeb"/>
        <w:spacing w:before="240" w:beforeAutospacing="0" w:after="0" w:afterAutospacing="0"/>
        <w:rPr>
          <w:rFonts w:ascii="Arial" w:hAnsi="Arial" w:cs="Arial"/>
          <w:color w:val="5A5D65"/>
        </w:rPr>
      </w:pPr>
      <w:r w:rsidRPr="00FF7B6C">
        <w:rPr>
          <w:rFonts w:ascii="Arial" w:hAnsi="Arial" w:cs="Arial"/>
          <w:color w:val="5A5D65"/>
        </w:rPr>
        <w:t xml:space="preserve">- </w:t>
      </w:r>
      <w:proofErr w:type="spellStart"/>
      <w:r w:rsidRPr="00FF7B6C">
        <w:rPr>
          <w:rFonts w:ascii="Arial" w:hAnsi="Arial" w:cs="Arial"/>
          <w:color w:val="5A5D65"/>
        </w:rPr>
        <w:t>Hipertrofiás</w:t>
      </w:r>
      <w:proofErr w:type="spellEnd"/>
      <w:r w:rsidRPr="00FF7B6C">
        <w:rPr>
          <w:rFonts w:ascii="Arial" w:hAnsi="Arial" w:cs="Arial"/>
          <w:color w:val="5A5D65"/>
        </w:rPr>
        <w:t xml:space="preserve"> </w:t>
      </w:r>
      <w:proofErr w:type="spellStart"/>
      <w:r w:rsidRPr="00FF7B6C">
        <w:rPr>
          <w:rFonts w:ascii="Arial" w:hAnsi="Arial" w:cs="Arial"/>
          <w:color w:val="5A5D65"/>
        </w:rPr>
        <w:t>kardiomiopátia</w:t>
      </w:r>
      <w:proofErr w:type="spellEnd"/>
      <w:r w:rsidRPr="00FF7B6C">
        <w:rPr>
          <w:rFonts w:ascii="Arial" w:hAnsi="Arial" w:cs="Arial"/>
          <w:color w:val="5A5D65"/>
        </w:rPr>
        <w:t xml:space="preserve"> (szívizombetegség)</w:t>
      </w:r>
    </w:p>
    <w:p w:rsidR="00FF7B6C" w:rsidRPr="00FF7B6C" w:rsidRDefault="00FF7B6C" w:rsidP="00FF7B6C">
      <w:pPr>
        <w:pStyle w:val="NormlWeb"/>
        <w:spacing w:before="240" w:beforeAutospacing="0" w:after="0" w:afterAutospacing="0"/>
        <w:rPr>
          <w:rFonts w:ascii="Arial" w:hAnsi="Arial" w:cs="Arial"/>
          <w:color w:val="5A5D65"/>
        </w:rPr>
      </w:pPr>
      <w:r w:rsidRPr="00FF7B6C">
        <w:rPr>
          <w:rFonts w:ascii="Arial" w:hAnsi="Arial" w:cs="Arial"/>
          <w:color w:val="5A5D65"/>
        </w:rPr>
        <w:t xml:space="preserve">- A szív- és </w:t>
      </w:r>
      <w:proofErr w:type="spellStart"/>
      <w:r w:rsidRPr="00FF7B6C">
        <w:rPr>
          <w:rFonts w:ascii="Arial" w:hAnsi="Arial" w:cs="Arial"/>
          <w:color w:val="5A5D65"/>
        </w:rPr>
        <w:t>nagyér</w:t>
      </w:r>
      <w:proofErr w:type="spellEnd"/>
      <w:r w:rsidRPr="00FF7B6C">
        <w:rPr>
          <w:rFonts w:ascii="Arial" w:hAnsi="Arial" w:cs="Arial"/>
          <w:color w:val="5A5D65"/>
        </w:rPr>
        <w:t>-fejlődési rendellenességek többsége (a nagy és a kis kockázatú csoportban felsoroltak kivételével) </w:t>
      </w:r>
    </w:p>
    <w:p w:rsidR="00FF7B6C" w:rsidRPr="00FF7B6C" w:rsidRDefault="00FF7B6C" w:rsidP="00FF7B6C">
      <w:pPr>
        <w:pStyle w:val="NormlWeb"/>
        <w:spacing w:before="240" w:beforeAutospacing="0" w:after="0" w:afterAutospacing="0"/>
        <w:rPr>
          <w:rFonts w:ascii="Arial" w:hAnsi="Arial" w:cs="Arial"/>
          <w:color w:val="5A5D65"/>
        </w:rPr>
      </w:pPr>
      <w:r w:rsidRPr="00FF7B6C">
        <w:rPr>
          <w:rFonts w:ascii="Arial" w:hAnsi="Arial" w:cs="Arial"/>
          <w:color w:val="5A5D65"/>
        </w:rPr>
        <w:t xml:space="preserve">- </w:t>
      </w:r>
      <w:proofErr w:type="spellStart"/>
      <w:r w:rsidRPr="00FF7B6C">
        <w:rPr>
          <w:rFonts w:ascii="Arial" w:hAnsi="Arial" w:cs="Arial"/>
          <w:color w:val="5A5D65"/>
        </w:rPr>
        <w:t>Hidrocephalus</w:t>
      </w:r>
      <w:proofErr w:type="spellEnd"/>
      <w:r w:rsidRPr="00FF7B6C">
        <w:rPr>
          <w:rFonts w:ascii="Arial" w:hAnsi="Arial" w:cs="Arial"/>
          <w:color w:val="5A5D65"/>
        </w:rPr>
        <w:t xml:space="preserve"> (vízfejűség) miatt beült</w:t>
      </w:r>
      <w:r w:rsidRPr="00FF7B6C">
        <w:rPr>
          <w:rFonts w:ascii="Arial" w:hAnsi="Arial" w:cs="Arial"/>
          <w:color w:val="5A5D65"/>
        </w:rPr>
        <w:t xml:space="preserve">etett </w:t>
      </w:r>
      <w:proofErr w:type="spellStart"/>
      <w:r w:rsidRPr="00FF7B6C">
        <w:rPr>
          <w:rFonts w:ascii="Arial" w:hAnsi="Arial" w:cs="Arial"/>
          <w:color w:val="5A5D65"/>
        </w:rPr>
        <w:t>ventriculo-atrialis</w:t>
      </w:r>
      <w:proofErr w:type="spellEnd"/>
      <w:r w:rsidRPr="00FF7B6C">
        <w:rPr>
          <w:rFonts w:ascii="Arial" w:hAnsi="Arial" w:cs="Arial"/>
          <w:color w:val="5A5D65"/>
        </w:rPr>
        <w:t xml:space="preserve"> </w:t>
      </w:r>
      <w:proofErr w:type="spellStart"/>
      <w:r w:rsidRPr="00FF7B6C">
        <w:rPr>
          <w:rFonts w:ascii="Arial" w:hAnsi="Arial" w:cs="Arial"/>
          <w:color w:val="5A5D65"/>
        </w:rPr>
        <w:t>shunt</w:t>
      </w:r>
      <w:proofErr w:type="spellEnd"/>
    </w:p>
    <w:p w:rsidR="00FF7B6C" w:rsidRPr="000F5EF6" w:rsidRDefault="00FF7B6C" w:rsidP="00FF7B6C">
      <w:pPr>
        <w:pStyle w:val="NormlWeb"/>
        <w:spacing w:before="240" w:beforeAutospacing="0" w:after="0" w:afterAutospacing="0"/>
        <w:rPr>
          <w:rFonts w:ascii="Arial" w:hAnsi="Arial" w:cs="Arial"/>
          <w:b/>
          <w:color w:val="5A5D65"/>
        </w:rPr>
      </w:pPr>
      <w:r w:rsidRPr="000F5EF6">
        <w:rPr>
          <w:rFonts w:ascii="Arial" w:hAnsi="Arial" w:cs="Arial"/>
          <w:b/>
          <w:color w:val="5A5D65"/>
        </w:rPr>
        <w:lastRenderedPageBreak/>
        <w:t>Kis kockázatot jelent</w:t>
      </w:r>
    </w:p>
    <w:p w:rsidR="00FF7B6C" w:rsidRPr="00FF7B6C" w:rsidRDefault="00FF7B6C" w:rsidP="00FF7B6C">
      <w:pPr>
        <w:spacing w:before="240" w:after="0" w:line="240" w:lineRule="auto"/>
        <w:rPr>
          <w:rFonts w:ascii="Arial" w:eastAsia="Times New Roman" w:hAnsi="Arial" w:cs="Arial"/>
          <w:color w:val="5A5D65"/>
          <w:sz w:val="24"/>
          <w:szCs w:val="24"/>
          <w:lang w:eastAsia="hu-HU"/>
        </w:rPr>
      </w:pPr>
      <w:r w:rsidRPr="00FF7B6C">
        <w:rPr>
          <w:rFonts w:ascii="Arial" w:eastAsia="Times New Roman" w:hAnsi="Arial" w:cs="Arial"/>
          <w:color w:val="5A5D65"/>
          <w:sz w:val="24"/>
          <w:szCs w:val="24"/>
          <w:lang w:eastAsia="hu-HU"/>
        </w:rPr>
        <w:t xml:space="preserve">- </w:t>
      </w:r>
      <w:proofErr w:type="spellStart"/>
      <w:r w:rsidRPr="00FF7B6C">
        <w:rPr>
          <w:rFonts w:ascii="Arial" w:eastAsia="Times New Roman" w:hAnsi="Arial" w:cs="Arial"/>
          <w:color w:val="5A5D65"/>
          <w:sz w:val="24"/>
          <w:szCs w:val="24"/>
          <w:lang w:eastAsia="hu-HU"/>
        </w:rPr>
        <w:t>Akcidentális</w:t>
      </w:r>
      <w:proofErr w:type="spellEnd"/>
      <w:r w:rsidRPr="00FF7B6C">
        <w:rPr>
          <w:rFonts w:ascii="Arial" w:eastAsia="Times New Roman" w:hAnsi="Arial" w:cs="Arial"/>
          <w:color w:val="5A5D65"/>
          <w:sz w:val="24"/>
          <w:szCs w:val="24"/>
          <w:lang w:eastAsia="hu-HU"/>
        </w:rPr>
        <w:t xml:space="preserve"> szívzörej </w:t>
      </w:r>
    </w:p>
    <w:p w:rsidR="00FF7B6C" w:rsidRPr="00FF7B6C" w:rsidRDefault="00FF7B6C" w:rsidP="00FF7B6C">
      <w:pPr>
        <w:spacing w:before="240" w:after="0" w:line="240" w:lineRule="auto"/>
        <w:rPr>
          <w:rFonts w:ascii="Arial" w:eastAsia="Times New Roman" w:hAnsi="Arial" w:cs="Arial"/>
          <w:color w:val="5A5D65"/>
          <w:sz w:val="24"/>
          <w:szCs w:val="24"/>
          <w:lang w:eastAsia="hu-HU"/>
        </w:rPr>
      </w:pPr>
      <w:r w:rsidRPr="00FF7B6C">
        <w:rPr>
          <w:rFonts w:ascii="Arial" w:eastAsia="Times New Roman" w:hAnsi="Arial" w:cs="Arial"/>
          <w:color w:val="5A5D65"/>
          <w:sz w:val="24"/>
          <w:szCs w:val="24"/>
          <w:lang w:eastAsia="hu-HU"/>
        </w:rPr>
        <w:t xml:space="preserve">- </w:t>
      </w:r>
      <w:proofErr w:type="spellStart"/>
      <w:r w:rsidRPr="00FF7B6C">
        <w:rPr>
          <w:rFonts w:ascii="Arial" w:eastAsia="Times New Roman" w:hAnsi="Arial" w:cs="Arial"/>
          <w:color w:val="5A5D65"/>
          <w:sz w:val="24"/>
          <w:szCs w:val="24"/>
          <w:lang w:eastAsia="hu-HU"/>
        </w:rPr>
        <w:t>Mitralis</w:t>
      </w:r>
      <w:proofErr w:type="spellEnd"/>
      <w:r w:rsidRPr="00FF7B6C">
        <w:rPr>
          <w:rFonts w:ascii="Arial" w:eastAsia="Times New Roman" w:hAnsi="Arial" w:cs="Arial"/>
          <w:color w:val="5A5D65"/>
          <w:sz w:val="24"/>
          <w:szCs w:val="24"/>
          <w:lang w:eastAsia="hu-HU"/>
        </w:rPr>
        <w:t xml:space="preserve"> billentyű </w:t>
      </w:r>
      <w:proofErr w:type="spellStart"/>
      <w:r w:rsidRPr="00FF7B6C">
        <w:rPr>
          <w:rFonts w:ascii="Arial" w:eastAsia="Times New Roman" w:hAnsi="Arial" w:cs="Arial"/>
          <w:color w:val="5A5D65"/>
          <w:sz w:val="24"/>
          <w:szCs w:val="24"/>
          <w:lang w:eastAsia="hu-HU"/>
        </w:rPr>
        <w:t>prolapsus</w:t>
      </w:r>
      <w:proofErr w:type="spellEnd"/>
      <w:r w:rsidRPr="00FF7B6C">
        <w:rPr>
          <w:rFonts w:ascii="Arial" w:eastAsia="Times New Roman" w:hAnsi="Arial" w:cs="Arial"/>
          <w:color w:val="5A5D65"/>
          <w:sz w:val="24"/>
          <w:szCs w:val="24"/>
          <w:lang w:eastAsia="hu-HU"/>
        </w:rPr>
        <w:t xml:space="preserve"> </w:t>
      </w:r>
      <w:proofErr w:type="spellStart"/>
      <w:r w:rsidRPr="00FF7B6C">
        <w:rPr>
          <w:rFonts w:ascii="Arial" w:eastAsia="Times New Roman" w:hAnsi="Arial" w:cs="Arial"/>
          <w:color w:val="5A5D65"/>
          <w:sz w:val="24"/>
          <w:szCs w:val="24"/>
          <w:lang w:eastAsia="hu-HU"/>
        </w:rPr>
        <w:t>regurgitatio</w:t>
      </w:r>
      <w:proofErr w:type="spellEnd"/>
      <w:r w:rsidRPr="00FF7B6C">
        <w:rPr>
          <w:rFonts w:ascii="Arial" w:eastAsia="Times New Roman" w:hAnsi="Arial" w:cs="Arial"/>
          <w:color w:val="5A5D65"/>
          <w:sz w:val="24"/>
          <w:szCs w:val="24"/>
          <w:lang w:eastAsia="hu-HU"/>
        </w:rPr>
        <w:t xml:space="preserve"> nélkül </w:t>
      </w:r>
    </w:p>
    <w:p w:rsidR="00FF7B6C" w:rsidRPr="00FF7B6C" w:rsidRDefault="00FF7B6C" w:rsidP="00FF7B6C">
      <w:pPr>
        <w:spacing w:before="240" w:after="0" w:line="240" w:lineRule="auto"/>
        <w:rPr>
          <w:rFonts w:ascii="Arial" w:eastAsia="Times New Roman" w:hAnsi="Arial" w:cs="Arial"/>
          <w:color w:val="5A5D65"/>
          <w:sz w:val="24"/>
          <w:szCs w:val="24"/>
          <w:lang w:eastAsia="hu-HU"/>
        </w:rPr>
      </w:pPr>
      <w:r w:rsidRPr="00FF7B6C">
        <w:rPr>
          <w:rFonts w:ascii="Arial" w:eastAsia="Times New Roman" w:hAnsi="Arial" w:cs="Arial"/>
          <w:color w:val="5A5D65"/>
          <w:sz w:val="24"/>
          <w:szCs w:val="24"/>
          <w:lang w:eastAsia="hu-HU"/>
        </w:rPr>
        <w:t xml:space="preserve">- </w:t>
      </w:r>
      <w:proofErr w:type="spellStart"/>
      <w:r w:rsidRPr="00FF7B6C">
        <w:rPr>
          <w:rFonts w:ascii="Arial" w:eastAsia="Times New Roman" w:hAnsi="Arial" w:cs="Arial"/>
          <w:color w:val="5A5D65"/>
          <w:sz w:val="24"/>
          <w:szCs w:val="24"/>
          <w:lang w:eastAsia="hu-HU"/>
        </w:rPr>
        <w:t>Secundum</w:t>
      </w:r>
      <w:proofErr w:type="spellEnd"/>
      <w:r w:rsidRPr="00FF7B6C">
        <w:rPr>
          <w:rFonts w:ascii="Arial" w:eastAsia="Times New Roman" w:hAnsi="Arial" w:cs="Arial"/>
          <w:color w:val="5A5D65"/>
          <w:sz w:val="24"/>
          <w:szCs w:val="24"/>
          <w:lang w:eastAsia="hu-HU"/>
        </w:rPr>
        <w:t xml:space="preserve"> típusú pitvari sövényhiány (ASD-II) </w:t>
      </w:r>
    </w:p>
    <w:p w:rsidR="00FF7B6C" w:rsidRPr="00FF7B6C" w:rsidRDefault="00FF7B6C" w:rsidP="00FF7B6C">
      <w:pPr>
        <w:spacing w:before="240" w:after="0" w:line="240" w:lineRule="auto"/>
        <w:rPr>
          <w:rFonts w:ascii="Arial" w:eastAsia="Times New Roman" w:hAnsi="Arial" w:cs="Arial"/>
          <w:color w:val="5A5D65"/>
          <w:sz w:val="24"/>
          <w:szCs w:val="24"/>
          <w:lang w:eastAsia="hu-HU"/>
        </w:rPr>
      </w:pPr>
      <w:r w:rsidRPr="00FF7B6C">
        <w:rPr>
          <w:rFonts w:ascii="Arial" w:eastAsia="Times New Roman" w:hAnsi="Arial" w:cs="Arial"/>
          <w:color w:val="5A5D65"/>
          <w:sz w:val="24"/>
          <w:szCs w:val="24"/>
          <w:lang w:eastAsia="hu-HU"/>
        </w:rPr>
        <w:t xml:space="preserve">- Pacemaker/ICD beültetés utáni állapot (akár </w:t>
      </w:r>
      <w:proofErr w:type="spellStart"/>
      <w:r w:rsidRPr="00FF7B6C">
        <w:rPr>
          <w:rFonts w:ascii="Arial" w:eastAsia="Times New Roman" w:hAnsi="Arial" w:cs="Arial"/>
          <w:color w:val="5A5D65"/>
          <w:sz w:val="24"/>
          <w:szCs w:val="24"/>
          <w:lang w:eastAsia="hu-HU"/>
        </w:rPr>
        <w:t>epi</w:t>
      </w:r>
      <w:proofErr w:type="spellEnd"/>
      <w:r w:rsidRPr="00FF7B6C">
        <w:rPr>
          <w:rFonts w:ascii="Arial" w:eastAsia="Times New Roman" w:hAnsi="Arial" w:cs="Arial"/>
          <w:color w:val="5A5D65"/>
          <w:sz w:val="24"/>
          <w:szCs w:val="24"/>
          <w:lang w:eastAsia="hu-HU"/>
        </w:rPr>
        <w:t xml:space="preserve">-, akár </w:t>
      </w:r>
      <w:proofErr w:type="spellStart"/>
      <w:r w:rsidRPr="00FF7B6C">
        <w:rPr>
          <w:rFonts w:ascii="Arial" w:eastAsia="Times New Roman" w:hAnsi="Arial" w:cs="Arial"/>
          <w:color w:val="5A5D65"/>
          <w:sz w:val="24"/>
          <w:szCs w:val="24"/>
          <w:lang w:eastAsia="hu-HU"/>
        </w:rPr>
        <w:t>endocardialis</w:t>
      </w:r>
      <w:proofErr w:type="spellEnd"/>
      <w:r w:rsidRPr="00FF7B6C">
        <w:rPr>
          <w:rFonts w:ascii="Arial" w:eastAsia="Times New Roman" w:hAnsi="Arial" w:cs="Arial"/>
          <w:color w:val="5A5D65"/>
          <w:sz w:val="24"/>
          <w:szCs w:val="24"/>
          <w:lang w:eastAsia="hu-HU"/>
        </w:rPr>
        <w:t xml:space="preserve"> elektródákkal) </w:t>
      </w:r>
    </w:p>
    <w:p w:rsidR="00FF7B6C" w:rsidRPr="00FF7B6C" w:rsidRDefault="00FF7B6C" w:rsidP="00FF7B6C">
      <w:pPr>
        <w:spacing w:before="240" w:after="0" w:line="240" w:lineRule="auto"/>
        <w:rPr>
          <w:rFonts w:ascii="Arial" w:eastAsia="Times New Roman" w:hAnsi="Arial" w:cs="Arial"/>
          <w:color w:val="5A5D65"/>
          <w:sz w:val="24"/>
          <w:szCs w:val="24"/>
          <w:lang w:eastAsia="hu-HU"/>
        </w:rPr>
      </w:pPr>
      <w:r w:rsidRPr="00FF7B6C">
        <w:rPr>
          <w:rFonts w:ascii="Arial" w:eastAsia="Times New Roman" w:hAnsi="Arial" w:cs="Arial"/>
          <w:color w:val="5A5D65"/>
          <w:sz w:val="24"/>
          <w:szCs w:val="24"/>
          <w:lang w:eastAsia="hu-HU"/>
        </w:rPr>
        <w:t>- Diagnosztikus vagy intervenciós szívkatéterezés utáni állapot</w:t>
      </w:r>
    </w:p>
    <w:p w:rsidR="00FF7B6C" w:rsidRPr="00FF7B6C" w:rsidRDefault="00FF7B6C" w:rsidP="00FF7B6C">
      <w:pPr>
        <w:spacing w:before="240" w:after="0" w:line="240" w:lineRule="auto"/>
        <w:rPr>
          <w:rFonts w:ascii="Arial" w:eastAsia="Times New Roman" w:hAnsi="Arial" w:cs="Arial"/>
          <w:color w:val="5A5D65"/>
          <w:sz w:val="24"/>
          <w:szCs w:val="24"/>
          <w:lang w:eastAsia="hu-HU"/>
        </w:rPr>
      </w:pPr>
      <w:r w:rsidRPr="00FF7B6C">
        <w:rPr>
          <w:rFonts w:ascii="Arial" w:eastAsia="Times New Roman" w:hAnsi="Arial" w:cs="Arial"/>
          <w:color w:val="5A5D65"/>
          <w:sz w:val="24"/>
          <w:szCs w:val="24"/>
          <w:lang w:eastAsia="hu-HU"/>
        </w:rPr>
        <w:t>- Reumás láz utáni állapot, ha nem alakult ki billentyűhiba</w:t>
      </w:r>
    </w:p>
    <w:p w:rsidR="00FF7B6C" w:rsidRPr="00FF7B6C" w:rsidRDefault="00FF7B6C" w:rsidP="00FF7B6C">
      <w:pPr>
        <w:spacing w:before="240" w:after="0" w:line="240" w:lineRule="auto"/>
        <w:rPr>
          <w:rFonts w:ascii="Arial" w:eastAsia="Times New Roman" w:hAnsi="Arial" w:cs="Arial"/>
          <w:color w:val="5A5D65"/>
          <w:sz w:val="24"/>
          <w:szCs w:val="24"/>
          <w:lang w:eastAsia="hu-HU"/>
        </w:rPr>
      </w:pPr>
      <w:r w:rsidRPr="00FF7B6C">
        <w:rPr>
          <w:rFonts w:ascii="Arial" w:eastAsia="Times New Roman" w:hAnsi="Arial" w:cs="Arial"/>
          <w:color w:val="5A5D65"/>
          <w:sz w:val="24"/>
          <w:szCs w:val="24"/>
          <w:lang w:eastAsia="hu-HU"/>
        </w:rPr>
        <w:t xml:space="preserve">- Műtét utáni állapot ASD-II, kamrai sövényhiány (VSD), </w:t>
      </w:r>
      <w:proofErr w:type="spellStart"/>
      <w:r w:rsidRPr="00FF7B6C">
        <w:rPr>
          <w:rFonts w:ascii="Arial" w:eastAsia="Times New Roman" w:hAnsi="Arial" w:cs="Arial"/>
          <w:color w:val="5A5D65"/>
          <w:sz w:val="24"/>
          <w:szCs w:val="24"/>
          <w:lang w:eastAsia="hu-HU"/>
        </w:rPr>
        <w:t>ductus</w:t>
      </w:r>
      <w:proofErr w:type="spellEnd"/>
      <w:r w:rsidRPr="00FF7B6C">
        <w:rPr>
          <w:rFonts w:ascii="Arial" w:eastAsia="Times New Roman" w:hAnsi="Arial" w:cs="Arial"/>
          <w:color w:val="5A5D65"/>
          <w:sz w:val="24"/>
          <w:szCs w:val="24"/>
          <w:lang w:eastAsia="hu-HU"/>
        </w:rPr>
        <w:t xml:space="preserve"> </w:t>
      </w:r>
      <w:proofErr w:type="spellStart"/>
      <w:r w:rsidRPr="00FF7B6C">
        <w:rPr>
          <w:rFonts w:ascii="Arial" w:eastAsia="Times New Roman" w:hAnsi="Arial" w:cs="Arial"/>
          <w:color w:val="5A5D65"/>
          <w:sz w:val="24"/>
          <w:szCs w:val="24"/>
          <w:lang w:eastAsia="hu-HU"/>
        </w:rPr>
        <w:t>Botalli</w:t>
      </w:r>
      <w:proofErr w:type="spellEnd"/>
      <w:r w:rsidRPr="00FF7B6C">
        <w:rPr>
          <w:rFonts w:ascii="Arial" w:eastAsia="Times New Roman" w:hAnsi="Arial" w:cs="Arial"/>
          <w:color w:val="5A5D65"/>
          <w:sz w:val="24"/>
          <w:szCs w:val="24"/>
          <w:lang w:eastAsia="hu-HU"/>
        </w:rPr>
        <w:t xml:space="preserve"> </w:t>
      </w:r>
      <w:proofErr w:type="spellStart"/>
      <w:r w:rsidRPr="00FF7B6C">
        <w:rPr>
          <w:rFonts w:ascii="Arial" w:eastAsia="Times New Roman" w:hAnsi="Arial" w:cs="Arial"/>
          <w:color w:val="5A5D65"/>
          <w:sz w:val="24"/>
          <w:szCs w:val="24"/>
          <w:lang w:eastAsia="hu-HU"/>
        </w:rPr>
        <w:t>persistens</w:t>
      </w:r>
      <w:proofErr w:type="spellEnd"/>
      <w:r w:rsidRPr="00FF7B6C">
        <w:rPr>
          <w:rFonts w:ascii="Arial" w:eastAsia="Times New Roman" w:hAnsi="Arial" w:cs="Arial"/>
          <w:color w:val="5A5D65"/>
          <w:sz w:val="24"/>
          <w:szCs w:val="24"/>
          <w:lang w:eastAsia="hu-HU"/>
        </w:rPr>
        <w:t xml:space="preserve"> (PDA) zárása után 6 hónap elteltével, amennyiben nincs </w:t>
      </w:r>
      <w:proofErr w:type="spellStart"/>
      <w:r w:rsidRPr="00FF7B6C">
        <w:rPr>
          <w:rFonts w:ascii="Arial" w:eastAsia="Times New Roman" w:hAnsi="Arial" w:cs="Arial"/>
          <w:color w:val="5A5D65"/>
          <w:sz w:val="24"/>
          <w:szCs w:val="24"/>
          <w:lang w:eastAsia="hu-HU"/>
        </w:rPr>
        <w:t>reziduum</w:t>
      </w:r>
      <w:proofErr w:type="spellEnd"/>
    </w:p>
    <w:p w:rsidR="00FF7B6C" w:rsidRDefault="00FF7B6C" w:rsidP="00FF7B6C">
      <w:pPr>
        <w:spacing w:before="240" w:after="0" w:line="240" w:lineRule="auto"/>
        <w:rPr>
          <w:rFonts w:ascii="Arial" w:eastAsia="Times New Roman" w:hAnsi="Arial" w:cs="Arial"/>
          <w:color w:val="5A5D65"/>
          <w:sz w:val="24"/>
          <w:szCs w:val="24"/>
          <w:lang w:eastAsia="hu-HU"/>
        </w:rPr>
      </w:pPr>
      <w:r w:rsidRPr="00FF7B6C">
        <w:rPr>
          <w:rFonts w:ascii="Arial" w:eastAsia="Times New Roman" w:hAnsi="Arial" w:cs="Arial"/>
          <w:color w:val="5A5D65"/>
          <w:sz w:val="24"/>
          <w:szCs w:val="24"/>
          <w:lang w:eastAsia="hu-HU"/>
        </w:rPr>
        <w:t>- Kawasaki betegség utáni állapot, ha nem alakult ki billentyűhiba</w:t>
      </w:r>
    </w:p>
    <w:p w:rsidR="00FF7B6C" w:rsidRDefault="00FF7B6C" w:rsidP="00FF7B6C">
      <w:pPr>
        <w:spacing w:before="240" w:after="0" w:line="240" w:lineRule="auto"/>
        <w:rPr>
          <w:rFonts w:ascii="Arial" w:eastAsia="Times New Roman" w:hAnsi="Arial" w:cs="Arial"/>
          <w:color w:val="5A5D65"/>
          <w:sz w:val="24"/>
          <w:szCs w:val="24"/>
          <w:lang w:eastAsia="hu-HU"/>
        </w:rPr>
      </w:pPr>
    </w:p>
    <w:p w:rsidR="00FF7B6C" w:rsidRPr="00FF7B6C" w:rsidRDefault="00FF7B6C" w:rsidP="00FF7B6C">
      <w:pPr>
        <w:spacing w:before="240" w:after="0" w:line="240" w:lineRule="auto"/>
        <w:rPr>
          <w:rFonts w:ascii="Arial" w:eastAsia="Times New Roman" w:hAnsi="Arial" w:cs="Arial"/>
          <w:color w:val="5A5D65"/>
          <w:sz w:val="24"/>
          <w:szCs w:val="24"/>
          <w:lang w:eastAsia="hu-HU"/>
        </w:rPr>
      </w:pPr>
    </w:p>
    <w:sectPr w:rsidR="00FF7B6C" w:rsidRPr="00FF7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1387B"/>
    <w:multiLevelType w:val="hybridMultilevel"/>
    <w:tmpl w:val="7EEA61D8"/>
    <w:lvl w:ilvl="0" w:tplc="235E0F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470"/>
    <w:rsid w:val="000F5EF6"/>
    <w:rsid w:val="002B5470"/>
    <w:rsid w:val="00DA4FB5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B36AE"/>
  <w15:chartTrackingRefBased/>
  <w15:docId w15:val="{CEC0C28F-3949-4008-A471-BC64D9E9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FF7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FF7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8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SZTE</dc:creator>
  <cp:keywords/>
  <dc:description/>
  <cp:lastModifiedBy>SZTE</cp:lastModifiedBy>
  <cp:revision>2</cp:revision>
  <dcterms:created xsi:type="dcterms:W3CDTF">2024-03-04T08:44:00Z</dcterms:created>
  <dcterms:modified xsi:type="dcterms:W3CDTF">2024-03-04T08:44:00Z</dcterms:modified>
</cp:coreProperties>
</file>