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2E12D" w14:textId="276BE64C" w:rsidR="000B10D0" w:rsidRDefault="000B10D0" w:rsidP="00E566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proofErr w:type="spellStart"/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Metformin</w:t>
      </w:r>
      <w:proofErr w:type="spellEnd"/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: tévhitek, magyarázatok, klinikai bizonyítékok</w:t>
      </w:r>
    </w:p>
    <w:p w14:paraId="206B47A5" w14:textId="77777777" w:rsidR="00334110" w:rsidRPr="000B10D0" w:rsidRDefault="00334110" w:rsidP="003341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559"/>
        <w:gridCol w:w="7487"/>
        <w:gridCol w:w="3016"/>
      </w:tblGrid>
      <w:tr w:rsidR="00334110" w:rsidRPr="000B10D0" w14:paraId="11B417BA" w14:textId="77777777" w:rsidTr="000B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51D85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Tévhit</w:t>
            </w:r>
          </w:p>
        </w:tc>
        <w:tc>
          <w:tcPr>
            <w:tcW w:w="0" w:type="auto"/>
            <w:vAlign w:val="center"/>
            <w:hideMark/>
          </w:tcPr>
          <w:p w14:paraId="209A2433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Mit állítanak?</w:t>
            </w:r>
          </w:p>
        </w:tc>
        <w:tc>
          <w:tcPr>
            <w:tcW w:w="0" w:type="auto"/>
            <w:vAlign w:val="center"/>
            <w:hideMark/>
          </w:tcPr>
          <w:p w14:paraId="546B8ACC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 az igazság? (Érthetően)</w:t>
            </w:r>
          </w:p>
        </w:tc>
        <w:tc>
          <w:tcPr>
            <w:tcW w:w="0" w:type="auto"/>
            <w:vAlign w:val="center"/>
            <w:hideMark/>
          </w:tcPr>
          <w:p w14:paraId="3CB89EE2" w14:textId="77777777" w:rsidR="000B10D0" w:rsidRPr="000B10D0" w:rsidRDefault="000B10D0" w:rsidP="000B1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Bizonyíték / Klinikai vizsgálatok</w:t>
            </w:r>
          </w:p>
        </w:tc>
      </w:tr>
      <w:tr w:rsidR="00334110" w:rsidRPr="000B10D0" w14:paraId="18BF035A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E2F5" w14:textId="102A55F3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1.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már elavult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, 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sok mellékhatást okoz</w:t>
            </w:r>
          </w:p>
        </w:tc>
        <w:tc>
          <w:tcPr>
            <w:tcW w:w="0" w:type="auto"/>
            <w:vAlign w:val="center"/>
            <w:hideMark/>
          </w:tcPr>
          <w:p w14:paraId="0155A72D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Régi gyógyszer, van ennél jobb. Hasmenést, puffadást okoz.</w:t>
            </w:r>
          </w:p>
        </w:tc>
        <w:tc>
          <w:tcPr>
            <w:tcW w:w="0" w:type="auto"/>
            <w:vAlign w:val="center"/>
            <w:hideMark/>
          </w:tcPr>
          <w:p w14:paraId="4DFB187A" w14:textId="1AAAAFFF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az egyik legbiztonságosabb és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leghatékonyabb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vér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-</w:t>
            </w:r>
            <w:r w:rsidR="0033411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cukorcsökkentő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gyógyszer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 kezdeti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hasmenés gyakori, de átmeneti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(első 2-3 hét)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és gyakran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 gyors dózisemelés vagy a magas szénhidráttartalmú étrend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váltja ki.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Szénhidrátcsökkentett diéta és fokozatos adagolás</w:t>
            </w:r>
            <w:r w:rsidR="00334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mellett a panaszok nagyrészt megelőzhetők.</w:t>
            </w:r>
          </w:p>
        </w:tc>
        <w:tc>
          <w:tcPr>
            <w:tcW w:w="0" w:type="auto"/>
            <w:vAlign w:val="center"/>
            <w:hideMark/>
          </w:tcPr>
          <w:p w14:paraId="34E6E3D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UKPDS (1998), ADA-EASD 2024,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2020,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Diabetologia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2015 (GI tolerancia),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UpToDate</w:t>
            </w:r>
            <w:proofErr w:type="spellEnd"/>
          </w:p>
        </w:tc>
      </w:tr>
      <w:tr w:rsidR="00334110" w:rsidRPr="000B10D0" w14:paraId="357F76DC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0442C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2.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károsítja a vesét</w:t>
            </w:r>
          </w:p>
        </w:tc>
        <w:tc>
          <w:tcPr>
            <w:tcW w:w="0" w:type="auto"/>
            <w:vAlign w:val="center"/>
            <w:hideMark/>
          </w:tcPr>
          <w:p w14:paraId="067439D5" w14:textId="4ECE44AE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Veseelégtelenség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et okoz.</w:t>
            </w:r>
          </w:p>
        </w:tc>
        <w:tc>
          <w:tcPr>
            <w:tcW w:w="0" w:type="auto"/>
            <w:vAlign w:val="center"/>
            <w:hideMark/>
          </w:tcPr>
          <w:p w14:paraId="33DB5ECC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Hamis.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Csak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súlyos vesebetegség esetén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ellenjavallt. A legtöbb beteg biztonsággal szedheti, ha a GFR &gt; 30 ml/min.</w:t>
            </w:r>
          </w:p>
        </w:tc>
        <w:tc>
          <w:tcPr>
            <w:tcW w:w="0" w:type="auto"/>
            <w:vAlign w:val="center"/>
            <w:hideMark/>
          </w:tcPr>
          <w:p w14:paraId="01D0775A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FDA iránymódosítás (2016), KDIGO 2022, ADA 2024</w:t>
            </w:r>
          </w:p>
        </w:tc>
      </w:tr>
      <w:tr w:rsidR="00334110" w:rsidRPr="000B10D0" w14:paraId="0DC65044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B47B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3.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súlyos B12-hiányt okoz</w:t>
            </w:r>
          </w:p>
        </w:tc>
        <w:tc>
          <w:tcPr>
            <w:tcW w:w="0" w:type="auto"/>
            <w:vAlign w:val="center"/>
            <w:hideMark/>
          </w:tcPr>
          <w:p w14:paraId="6DBBCC5D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Elbutulást,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neuropátiát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okozhat.</w:t>
            </w:r>
          </w:p>
        </w:tc>
        <w:tc>
          <w:tcPr>
            <w:tcW w:w="0" w:type="auto"/>
            <w:vAlign w:val="center"/>
            <w:hideMark/>
          </w:tcPr>
          <w:p w14:paraId="589C0B63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Hosszú távon valóban okozhat B12-hiányt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de ez könnyen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ellenőrizhető és kezelhető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 Nem ok az elhagyásra, csak monitorozásra.</w:t>
            </w:r>
          </w:p>
        </w:tc>
        <w:tc>
          <w:tcPr>
            <w:tcW w:w="0" w:type="auto"/>
            <w:vAlign w:val="center"/>
            <w:hideMark/>
          </w:tcPr>
          <w:p w14:paraId="756DBBB0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Diabetes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Care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2010, BMJ 2016, ADA ajánlás 2024</w:t>
            </w:r>
          </w:p>
        </w:tc>
      </w:tr>
      <w:tr w:rsidR="00334110" w:rsidRPr="000B10D0" w14:paraId="6C8794ED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07D0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4. 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nem csökkenti a szövődményeket</w:t>
            </w:r>
          </w:p>
        </w:tc>
        <w:tc>
          <w:tcPr>
            <w:tcW w:w="0" w:type="auto"/>
            <w:vAlign w:val="center"/>
            <w:hideMark/>
          </w:tcPr>
          <w:p w14:paraId="44F27880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Csak a cukrot viszi le, mást nem.</w:t>
            </w:r>
          </w:p>
        </w:tc>
        <w:tc>
          <w:tcPr>
            <w:tcW w:w="0" w:type="auto"/>
            <w:vAlign w:val="center"/>
            <w:hideMark/>
          </w:tcPr>
          <w:p w14:paraId="25059A59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Tévedés.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A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csökkenti a szív-érrendszeri szövődményeket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különösen túlsúlyos betegeknél.</w:t>
            </w:r>
          </w:p>
        </w:tc>
        <w:tc>
          <w:tcPr>
            <w:tcW w:w="0" w:type="auto"/>
            <w:vAlign w:val="center"/>
            <w:hideMark/>
          </w:tcPr>
          <w:p w14:paraId="62FF059F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UKPDS 34 (1998), Diabetes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Obes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Metab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2017</w:t>
            </w:r>
          </w:p>
        </w:tc>
      </w:tr>
      <w:tr w:rsidR="00334110" w:rsidRPr="000B10D0" w14:paraId="457B23B2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451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5. Természetes módszerek elegendők</w:t>
            </w:r>
          </w:p>
        </w:tc>
        <w:tc>
          <w:tcPr>
            <w:tcW w:w="0" w:type="auto"/>
            <w:vAlign w:val="center"/>
            <w:hideMark/>
          </w:tcPr>
          <w:p w14:paraId="698BE93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Diétával minden rendezhető, nem kell gyógyszer.</w:t>
            </w:r>
          </w:p>
        </w:tc>
        <w:tc>
          <w:tcPr>
            <w:tcW w:w="0" w:type="auto"/>
            <w:vAlign w:val="center"/>
            <w:hideMark/>
          </w:tcPr>
          <w:p w14:paraId="377E6108" w14:textId="24602130" w:rsidR="000B10D0" w:rsidRPr="000B10D0" w:rsidRDefault="0033411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 d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iéta 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alapvető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de 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 mindig elegendő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. A </w:t>
            </w:r>
            <w:proofErr w:type="spellStart"/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kiegészíti az életmódkezelést</w:t>
            </w:r>
            <w:r w:rsidR="000B10D0"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nem helyettesíti.</w:t>
            </w:r>
          </w:p>
        </w:tc>
        <w:tc>
          <w:tcPr>
            <w:tcW w:w="0" w:type="auto"/>
            <w:vAlign w:val="center"/>
            <w:hideMark/>
          </w:tcPr>
          <w:p w14:paraId="065D5464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Look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AHEAD </w:t>
            </w: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trial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, ADA 2024, EASD 2023</w:t>
            </w:r>
          </w:p>
        </w:tc>
      </w:tr>
      <w:tr w:rsidR="00334110" w:rsidRPr="000B10D0" w14:paraId="66885402" w14:textId="77777777" w:rsidTr="000B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1628" w14:textId="5E44EA57" w:rsidR="000B10D0" w:rsidRPr="000B10D0" w:rsidRDefault="0033411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6</w:t>
            </w:r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. </w:t>
            </w:r>
            <w:proofErr w:type="spellStart"/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Laktátacidózist</w:t>
            </w:r>
            <w:proofErr w:type="spellEnd"/>
            <w:r w:rsidR="000B10D0"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okoz</w:t>
            </w:r>
          </w:p>
        </w:tc>
        <w:tc>
          <w:tcPr>
            <w:tcW w:w="0" w:type="auto"/>
            <w:vAlign w:val="center"/>
            <w:hideMark/>
          </w:tcPr>
          <w:p w14:paraId="6CDDC4D6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Ezért életveszélyes.</w:t>
            </w:r>
          </w:p>
        </w:tc>
        <w:tc>
          <w:tcPr>
            <w:tcW w:w="0" w:type="auto"/>
            <w:vAlign w:val="center"/>
            <w:hideMark/>
          </w:tcPr>
          <w:p w14:paraId="12D52A73" w14:textId="56D8E035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Ez extrém ritka.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A valós gyakoriság &lt;10 eset / </w:t>
            </w:r>
            <w:r w:rsidR="0033411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százezer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betegév. Leginkább </w:t>
            </w:r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súlyos vese- vagy májbetegség</w:t>
            </w:r>
            <w:r w:rsidRPr="000B10D0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esetén fordul elő.</w:t>
            </w:r>
          </w:p>
        </w:tc>
        <w:tc>
          <w:tcPr>
            <w:tcW w:w="0" w:type="auto"/>
            <w:vAlign w:val="center"/>
            <w:hideMark/>
          </w:tcPr>
          <w:p w14:paraId="16CA360D" w14:textId="77777777" w:rsidR="000B10D0" w:rsidRPr="000B10D0" w:rsidRDefault="000B10D0" w:rsidP="000B1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0B10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2010, NEJM 2014, ADA 2024</w:t>
            </w:r>
          </w:p>
        </w:tc>
      </w:tr>
    </w:tbl>
    <w:p w14:paraId="0FEFCE4C" w14:textId="77777777" w:rsidR="00334110" w:rsidRDefault="00334110" w:rsidP="000B1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p w14:paraId="72DB2B2D" w14:textId="212E7FF6" w:rsidR="000B10D0" w:rsidRPr="000B10D0" w:rsidRDefault="000B10D0" w:rsidP="000B1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  <w:t>Összegzés – páciensek számára:</w:t>
      </w:r>
    </w:p>
    <w:p w14:paraId="5D145887" w14:textId="77777777" w:rsidR="000B10D0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metformin</w:t>
      </w:r>
      <w:proofErr w:type="spellEnd"/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</w:t>
      </w: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biztonságos, hatékony és olcsó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gyógyszer.</w:t>
      </w:r>
    </w:p>
    <w:p w14:paraId="28ED7700" w14:textId="093AAC67" w:rsidR="00334110" w:rsidRPr="000B10D0" w:rsidRDefault="0033411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Gyakori kezdeti mellékhatása </w:t>
      </w:r>
      <w:r w:rsidRPr="0033411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a hasmenés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mely </w:t>
      </w:r>
      <w:r w:rsidRPr="0033411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a szénhidrátcsökkentett diéta betartásával és fokozatosan emelt adagolással kezelhető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.</w:t>
      </w:r>
    </w:p>
    <w:p w14:paraId="7095248F" w14:textId="77777777" w:rsidR="000B10D0" w:rsidRPr="000B10D0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Nem okoz veseelégtelenséget vagy halálos szövődményt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, ha szabályosan használják.</w:t>
      </w:r>
    </w:p>
    <w:p w14:paraId="24A862E9" w14:textId="77777777" w:rsidR="000B10D0" w:rsidRPr="000B10D0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A legtöbb páciens profitál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belőle, és kombinálható újabb szerekkel (GLP-1RA, SGLT2i).</w:t>
      </w:r>
    </w:p>
    <w:p w14:paraId="28D518AE" w14:textId="4B15CBB7" w:rsidR="0095565C" w:rsidRDefault="000B10D0" w:rsidP="000B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Nem „elavult”, hanem </w:t>
      </w:r>
      <w:r w:rsidR="00E56628" w:rsidRPr="00E56628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 xml:space="preserve">kezdő </w:t>
      </w:r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referencia-gyógyszer</w:t>
      </w:r>
      <w:r w:rsidRPr="000B10D0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az irányelvekben.</w:t>
      </w:r>
    </w:p>
    <w:p w14:paraId="72064DA6" w14:textId="77777777" w:rsidR="00E56628" w:rsidRDefault="00E56628" w:rsidP="00E5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</w:p>
    <w:p w14:paraId="27A3D1A5" w14:textId="77777777" w:rsidR="00E56628" w:rsidRPr="00E43110" w:rsidRDefault="00E56628" w:rsidP="00E566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proofErr w:type="spellStart"/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lastRenderedPageBreak/>
        <w:t>Metformin</w:t>
      </w:r>
      <w:proofErr w:type="spellEnd"/>
      <w:r w:rsidRPr="000B10D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mire figyeljünk?</w:t>
      </w:r>
    </w:p>
    <w:p w14:paraId="52AE69C7" w14:textId="77777777" w:rsidR="00E56628" w:rsidRDefault="00E56628" w:rsidP="00E5662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</w:pPr>
      <w:r w:rsidRPr="004F7B77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Szüneteltetni kell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 xml:space="preserve"> a szedését</w:t>
      </w:r>
    </w:p>
    <w:p w14:paraId="081CD209" w14:textId="77777777" w:rsidR="00E56628" w:rsidRPr="0046633E" w:rsidRDefault="00E56628" w:rsidP="00E56628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hányással, hasmenéssel, kiszáradással járó állapotok</w:t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ab/>
        <w:t>gyomor- és bélrendszeri fertőzések, egyéb gyulladások, fertőzések</w:t>
      </w:r>
    </w:p>
    <w:p w14:paraId="54B25578" w14:textId="77777777" w:rsidR="00E56628" w:rsidRPr="0046633E" w:rsidRDefault="00E56628" w:rsidP="00E56628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koplalás, </w:t>
      </w:r>
      <w:proofErr w:type="spellStart"/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éhgyomri</w:t>
      </w:r>
      <w:proofErr w:type="spellEnd"/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állapotok</w:t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ab/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ab/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ab/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ab/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ab/>
        <w:t>pl. műtétek, egyes endoszkópos beavatkozások előtt</w:t>
      </w:r>
    </w:p>
    <w:p w14:paraId="5885D142" w14:textId="77777777" w:rsidR="00E56628" w:rsidRDefault="00E56628" w:rsidP="00E56628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CT/MR vizsgálat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ok, koszorúér vagy egyéb érfestéses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ab/>
        <w:t>általában 2 nappal előtte függesszük fel a gyógyszert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br/>
        <w:t xml:space="preserve">vizsgálatok, melynél </w:t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kontrasztanyago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t </w:t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alkalmaznak</w:t>
      </w:r>
    </w:p>
    <w:p w14:paraId="20B9A3B3" w14:textId="77777777" w:rsidR="00E56628" w:rsidRDefault="00E56628" w:rsidP="00E56628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súlyos heveny betegségek esetén – sokk, szepszis, akut szívelégtelenség, akut veseelégtelenség, </w:t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súlyos májkárosodás</w:t>
      </w:r>
      <w: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, májelégtelenség</w:t>
      </w:r>
      <w:r w:rsidRPr="0046633E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stb.</w:t>
      </w:r>
    </w:p>
    <w:p w14:paraId="0CC9D1E3" w14:textId="77777777" w:rsidR="00E56628" w:rsidRPr="00E43110" w:rsidRDefault="00E56628" w:rsidP="00E56628">
      <w:pPr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5952"/>
        <w:gridCol w:w="4058"/>
      </w:tblGrid>
      <w:tr w:rsidR="00E56628" w:rsidRPr="0046633E" w14:paraId="4FCBC061" w14:textId="77777777" w:rsidTr="000D5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5AC5C" w14:textId="77777777" w:rsidR="00E56628" w:rsidRPr="0046633E" w:rsidRDefault="00E56628" w:rsidP="000D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Beteg teendő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</w:t>
            </w:r>
          </w:p>
        </w:tc>
        <w:tc>
          <w:tcPr>
            <w:tcW w:w="5922" w:type="dxa"/>
            <w:vAlign w:val="center"/>
            <w:hideMark/>
          </w:tcPr>
          <w:p w14:paraId="6432166B" w14:textId="77777777" w:rsidR="00E56628" w:rsidRPr="0046633E" w:rsidRDefault="00E56628" w:rsidP="000D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Orvos feladata</w:t>
            </w:r>
          </w:p>
        </w:tc>
        <w:tc>
          <w:tcPr>
            <w:tcW w:w="4013" w:type="dxa"/>
            <w:vAlign w:val="center"/>
            <w:hideMark/>
          </w:tcPr>
          <w:p w14:paraId="7092EE45" w14:textId="77777777" w:rsidR="00E56628" w:rsidRPr="0046633E" w:rsidRDefault="00E56628" w:rsidP="000D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Szüneteltetés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, l</w:t>
            </w:r>
            <w:r w:rsidRPr="004663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eállítás szükséges?</w:t>
            </w:r>
          </w:p>
        </w:tc>
      </w:tr>
      <w:tr w:rsidR="00E56628" w:rsidRPr="0046633E" w14:paraId="17A943C5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380E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R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endszeresen járjon laborvizsgálatra</w:t>
            </w:r>
          </w:p>
        </w:tc>
        <w:tc>
          <w:tcPr>
            <w:tcW w:w="5922" w:type="dxa"/>
            <w:vAlign w:val="center"/>
            <w:hideMark/>
          </w:tcPr>
          <w:p w14:paraId="5B9363BA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GFR és májfunkció rendszeres ellenőrzése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legalább évente.</w:t>
            </w:r>
          </w:p>
        </w:tc>
        <w:tc>
          <w:tcPr>
            <w:tcW w:w="4013" w:type="dxa"/>
            <w:vAlign w:val="center"/>
            <w:hideMark/>
          </w:tcPr>
          <w:p w14:paraId="4065ACF7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Igen, ha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eGFR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gram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&lt; 30</w:t>
            </w:r>
            <w:proofErr w:type="gram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ml/min/1,73 m².</w:t>
            </w:r>
          </w:p>
        </w:tc>
      </w:tr>
      <w:tr w:rsidR="00E56628" w:rsidRPr="0046633E" w14:paraId="370B5C84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8D58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CT vagy MR vizsgálat előtt jelezze, ha </w:t>
            </w:r>
            <w:proofErr w:type="spellStart"/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metformint</w:t>
            </w:r>
            <w:proofErr w:type="spellEnd"/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szed</w:t>
            </w:r>
          </w:p>
        </w:tc>
        <w:tc>
          <w:tcPr>
            <w:tcW w:w="5922" w:type="dxa"/>
            <w:vAlign w:val="center"/>
            <w:hideMark/>
          </w:tcPr>
          <w:p w14:paraId="44D04C53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Ha iv. kontrasztanyag adása várható,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metformint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48 órára függessze fel.</w:t>
            </w:r>
          </w:p>
        </w:tc>
        <w:tc>
          <w:tcPr>
            <w:tcW w:w="4013" w:type="dxa"/>
            <w:vAlign w:val="center"/>
            <w:hideMark/>
          </w:tcPr>
          <w:p w14:paraId="060CE073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Igen, különösen, ha GFR &lt;60 ml/min.</w:t>
            </w:r>
          </w:p>
        </w:tc>
      </w:tr>
      <w:tr w:rsidR="00E56628" w:rsidRPr="0046633E" w14:paraId="53481213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0B65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ányás, hasmenés, láz, kiszáradás esetén hagyja abba ideiglenesen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5922" w:type="dxa"/>
            <w:vAlign w:val="center"/>
            <w:hideMark/>
          </w:tcPr>
          <w:p w14:paraId="0C66FA8F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z a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kut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dehidráció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hypovolaemia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esetén a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laktátacidózist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okozhat.</w:t>
            </w:r>
          </w:p>
        </w:tc>
        <w:tc>
          <w:tcPr>
            <w:tcW w:w="4013" w:type="dxa"/>
            <w:vAlign w:val="center"/>
            <w:hideMark/>
          </w:tcPr>
          <w:p w14:paraId="65A703C2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Igen, amíg az akut állapot fennáll.</w:t>
            </w:r>
          </w:p>
        </w:tc>
      </w:tr>
      <w:tr w:rsidR="00E56628" w:rsidRPr="0046633E" w14:paraId="5BDA5684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52A0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ebészeti beavatkozás előtt tájékoztassa kezelőorvosát</w:t>
            </w:r>
          </w:p>
        </w:tc>
        <w:tc>
          <w:tcPr>
            <w:tcW w:w="5922" w:type="dxa"/>
            <w:vAlign w:val="center"/>
            <w:hideMark/>
          </w:tcPr>
          <w:p w14:paraId="4E7070EE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Metformint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48 órával a műtét előtt szüneteltetni, posztoperatív újraindítás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amikor a beteg már tud enni.</w:t>
            </w:r>
          </w:p>
        </w:tc>
        <w:tc>
          <w:tcPr>
            <w:tcW w:w="4013" w:type="dxa"/>
            <w:vAlign w:val="center"/>
            <w:hideMark/>
          </w:tcPr>
          <w:p w14:paraId="4AA94C20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Igen, műtét előtti és utáni időszakban.</w:t>
            </w:r>
          </w:p>
        </w:tc>
      </w:tr>
      <w:tr w:rsidR="00E56628" w:rsidRPr="0046633E" w14:paraId="46C7088A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FF8F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 d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iétát tartsa be – főként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a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csökkentett szénhidrátbevitel ajánlott</w:t>
            </w:r>
          </w:p>
        </w:tc>
        <w:tc>
          <w:tcPr>
            <w:tcW w:w="5922" w:type="dxa"/>
            <w:vAlign w:val="center"/>
            <w:hideMark/>
          </w:tcPr>
          <w:p w14:paraId="4C9A0995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GI mellékhatások (pl. hasmenés) megelőzéséhez étrendi tanácsadás szükséges.</w:t>
            </w:r>
          </w:p>
        </w:tc>
        <w:tc>
          <w:tcPr>
            <w:tcW w:w="4013" w:type="dxa"/>
            <w:vAlign w:val="center"/>
            <w:hideMark/>
          </w:tcPr>
          <w:p w14:paraId="4C6E83E7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Nem, csak panasz esetén dózismódosítás jön szóba.</w:t>
            </w:r>
          </w:p>
        </w:tc>
      </w:tr>
      <w:tr w:rsidR="00E56628" w:rsidRPr="0046633E" w14:paraId="42E19574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64E2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Z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sibbadás,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szokatlan 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fáradtság esetén jelezze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az orvosnak</w:t>
            </w:r>
          </w:p>
        </w:tc>
        <w:tc>
          <w:tcPr>
            <w:tcW w:w="5922" w:type="dxa"/>
            <w:vAlign w:val="center"/>
            <w:hideMark/>
          </w:tcPr>
          <w:p w14:paraId="69EE0844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Hosszú távú használat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(3-5 év) 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esetén B12-szintet évente ellenőrizni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szükség esetén pótlást indítani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4013" w:type="dxa"/>
            <w:vAlign w:val="center"/>
            <w:hideMark/>
          </w:tcPr>
          <w:p w14:paraId="6BC0148F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Nem, csak ha súlyos B12-hiány igazolódik.</w:t>
            </w:r>
          </w:p>
        </w:tc>
      </w:tr>
      <w:tr w:rsidR="00E56628" w:rsidRPr="0046633E" w14:paraId="1F023B37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655F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Erős 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izomfájdalom, mély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, erőteljes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légzés, hányinger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(főleg heveny betegségek közben vagy után) 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→ azonnal orvoshoz fordulni</w:t>
            </w:r>
          </w:p>
        </w:tc>
        <w:tc>
          <w:tcPr>
            <w:tcW w:w="5922" w:type="dxa"/>
            <w:vAlign w:val="center"/>
            <w:hideMark/>
          </w:tcPr>
          <w:p w14:paraId="2C50CC5F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Laktátacidózis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gyanúja esetén sürgős diagnosztika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és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metformin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leállítása.</w:t>
            </w:r>
          </w:p>
        </w:tc>
        <w:tc>
          <w:tcPr>
            <w:tcW w:w="4013" w:type="dxa"/>
            <w:vAlign w:val="center"/>
            <w:hideMark/>
          </w:tcPr>
          <w:p w14:paraId="32BD30B4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Igen, ha acidózis igazolódik.</w:t>
            </w:r>
          </w:p>
        </w:tc>
      </w:tr>
      <w:tr w:rsidR="00E56628" w:rsidRPr="0046633E" w14:paraId="21DFEA63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6DF2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Család</w:t>
            </w:r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tervezés vagy PCOS esetén tájékoztassa orvosát</w:t>
            </w:r>
          </w:p>
        </w:tc>
        <w:tc>
          <w:tcPr>
            <w:tcW w:w="5922" w:type="dxa"/>
            <w:vAlign w:val="center"/>
            <w:hideMark/>
          </w:tcPr>
          <w:p w14:paraId="12D4A2E6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Terhesség alatt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a kezelőorvos 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mérlegeli 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felfüggesztést / 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folytatást (pl. PCOS vagy inzulinrezisztencia eseté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).</w:t>
            </w:r>
          </w:p>
        </w:tc>
        <w:tc>
          <w:tcPr>
            <w:tcW w:w="4013" w:type="dxa"/>
            <w:vAlign w:val="center"/>
            <w:hideMark/>
          </w:tcPr>
          <w:p w14:paraId="027A1E10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Esetileg,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kezelőorvos döntése szerint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</w:tr>
      <w:tr w:rsidR="00E56628" w:rsidRPr="0046633E" w14:paraId="6B50C498" w14:textId="77777777" w:rsidTr="000D5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8FA4" w14:textId="77777777" w:rsidR="00E56628" w:rsidRPr="00E43110" w:rsidRDefault="00E56628" w:rsidP="000D51A4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Hypoglykaemia</w:t>
            </w:r>
            <w:proofErr w:type="spellEnd"/>
            <w:r w:rsidRPr="00E43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tüneteit (pl. remegés, éhség, verejtékezés) ismerje fel</w:t>
            </w:r>
          </w:p>
        </w:tc>
        <w:tc>
          <w:tcPr>
            <w:tcW w:w="5922" w:type="dxa"/>
            <w:vAlign w:val="center"/>
            <w:hideMark/>
          </w:tcPr>
          <w:p w14:paraId="09A64F7D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Elsősorban k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ombinációs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antidiabetikus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terápia esetén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van </w:t>
            </w:r>
            <w:proofErr w:type="spellStart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hypoglykaemia</w:t>
            </w:r>
            <w:proofErr w:type="spellEnd"/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-rizikó</w:t>
            </w:r>
          </w:p>
        </w:tc>
        <w:tc>
          <w:tcPr>
            <w:tcW w:w="4013" w:type="dxa"/>
            <w:vAlign w:val="center"/>
            <w:hideMark/>
          </w:tcPr>
          <w:p w14:paraId="4C4417C5" w14:textId="77777777" w:rsidR="00E56628" w:rsidRPr="0046633E" w:rsidRDefault="00E56628" w:rsidP="000D5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K</w:t>
            </w:r>
            <w:r w:rsidRPr="0046633E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ombinációtól függően dózismódosítás szükséges lehet.</w:t>
            </w:r>
          </w:p>
        </w:tc>
      </w:tr>
    </w:tbl>
    <w:p w14:paraId="4405A550" w14:textId="77777777" w:rsidR="00E56628" w:rsidRPr="000B10D0" w:rsidRDefault="00E56628" w:rsidP="00E5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</w:p>
    <w:sectPr w:rsidR="00E56628" w:rsidRPr="000B10D0" w:rsidSect="000B10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73E5A"/>
    <w:multiLevelType w:val="hybridMultilevel"/>
    <w:tmpl w:val="CE6463BE"/>
    <w:lvl w:ilvl="0" w:tplc="EB62A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07198"/>
    <w:multiLevelType w:val="hybridMultilevel"/>
    <w:tmpl w:val="90A8023C"/>
    <w:lvl w:ilvl="0" w:tplc="BE1E1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0479F"/>
    <w:multiLevelType w:val="multilevel"/>
    <w:tmpl w:val="E95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247DE"/>
    <w:multiLevelType w:val="hybridMultilevel"/>
    <w:tmpl w:val="A814B0CE"/>
    <w:lvl w:ilvl="0" w:tplc="C0CC0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0426"/>
    <w:multiLevelType w:val="hybridMultilevel"/>
    <w:tmpl w:val="0F14BF16"/>
    <w:lvl w:ilvl="0" w:tplc="0C0EF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06219">
    <w:abstractNumId w:val="2"/>
  </w:num>
  <w:num w:numId="2" w16cid:durableId="188184113">
    <w:abstractNumId w:val="0"/>
  </w:num>
  <w:num w:numId="3" w16cid:durableId="327173727">
    <w:abstractNumId w:val="1"/>
  </w:num>
  <w:num w:numId="4" w16cid:durableId="479611715">
    <w:abstractNumId w:val="4"/>
  </w:num>
  <w:num w:numId="5" w16cid:durableId="634989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0"/>
    <w:rsid w:val="000B10D0"/>
    <w:rsid w:val="000C3056"/>
    <w:rsid w:val="0012710F"/>
    <w:rsid w:val="00334110"/>
    <w:rsid w:val="0046633E"/>
    <w:rsid w:val="004F7B77"/>
    <w:rsid w:val="006B5BAC"/>
    <w:rsid w:val="008F65E8"/>
    <w:rsid w:val="0095565C"/>
    <w:rsid w:val="009A1DEC"/>
    <w:rsid w:val="00A5224A"/>
    <w:rsid w:val="00E43110"/>
    <w:rsid w:val="00E5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ADF7"/>
  <w15:chartTrackingRefBased/>
  <w15:docId w15:val="{90EE2241-44A1-3446-AE18-FC21DC0E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B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10D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10D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10D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10D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10D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10D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10D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10D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10D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10D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10D0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B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apple-converted-space">
    <w:name w:val="apple-converted-space"/>
    <w:basedOn w:val="Bekezdsalapbettpusa"/>
    <w:rsid w:val="000B10D0"/>
  </w:style>
  <w:style w:type="character" w:styleId="Kiemels2">
    <w:name w:val="Strong"/>
    <w:basedOn w:val="Bekezdsalapbettpusa"/>
    <w:uiPriority w:val="22"/>
    <w:qFormat/>
    <w:rsid w:val="000B1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578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2</cp:revision>
  <dcterms:created xsi:type="dcterms:W3CDTF">2025-05-14T11:28:00Z</dcterms:created>
  <dcterms:modified xsi:type="dcterms:W3CDTF">2025-05-14T13:05:00Z</dcterms:modified>
</cp:coreProperties>
</file>