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03FD" w14:textId="7944D6E9" w:rsidR="00152DA3" w:rsidRDefault="00152DA3" w:rsidP="00152DA3">
      <w:pPr>
        <w:autoSpaceDE w:val="0"/>
        <w:autoSpaceDN w:val="0"/>
        <w:adjustRightInd w:val="0"/>
        <w:spacing w:after="300" w:line="240" w:lineRule="auto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color w:val="000000"/>
          <w:kern w:val="0"/>
        </w:rPr>
        <w:t xml:space="preserve">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metformin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az első vonalbeli orális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antihiperglikémiás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szer, amelyet elsősorban a 2-es típusú diabetes mellitus (T2DM) kezelésére alkalmaznak.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biguanidok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közé tartozik, és hatását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hepatikus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glükóztermelés csökkentésével, az inzulinérzékenység javításával és a perifériás glükózfelvétel fokozásával fejti ki</w:t>
      </w:r>
    </w:p>
    <w:p w14:paraId="6B0A7B77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Első vonalbeli terápia</w:t>
      </w:r>
      <w:r w:rsidRPr="00152DA3">
        <w:rPr>
          <w:rFonts w:ascii="Helvetica" w:hAnsi="Helvetica" w:cs="Helvetica"/>
          <w:color w:val="000000"/>
          <w:kern w:val="0"/>
        </w:rPr>
        <w:t xml:space="preserve"> T2DM-ben </w:t>
      </w:r>
      <w:r w:rsidRPr="00F51581">
        <w:rPr>
          <w:rFonts w:ascii="Helvetica" w:hAnsi="Helvetica" w:cs="Helvetica"/>
          <w:i/>
          <w:iCs/>
          <w:color w:val="000000"/>
          <w:kern w:val="0"/>
        </w:rPr>
        <w:t>erős hatékonysága, biztonságossága és alacsony költsége</w:t>
      </w:r>
      <w:r w:rsidRPr="00152DA3">
        <w:rPr>
          <w:rFonts w:ascii="Helvetica" w:hAnsi="Helvetica" w:cs="Helvetica"/>
          <w:color w:val="000000"/>
          <w:kern w:val="0"/>
        </w:rPr>
        <w:t xml:space="preserve"> miatt.</w:t>
      </w:r>
    </w:p>
    <w:p w14:paraId="0C2F7873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Súlysemleges</w:t>
      </w:r>
      <w:r w:rsidRPr="00152DA3">
        <w:rPr>
          <w:rFonts w:ascii="Helvetica" w:hAnsi="Helvetica" w:cs="Helvetica"/>
          <w:color w:val="000000"/>
          <w:kern w:val="0"/>
        </w:rPr>
        <w:t xml:space="preserve"> és </w:t>
      </w:r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nem okoz </w:t>
      </w:r>
      <w:proofErr w:type="spellStart"/>
      <w:r w:rsidRPr="00152DA3">
        <w:rPr>
          <w:rFonts w:ascii="Helvetica" w:hAnsi="Helvetica" w:cs="Helvetica"/>
          <w:b/>
          <w:bCs/>
          <w:color w:val="000000"/>
          <w:kern w:val="0"/>
        </w:rPr>
        <w:t>hipoglikémiát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, ami előnyösebbé teszi az inzulin vagy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szulfonilureákhoz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képest.</w:t>
      </w:r>
    </w:p>
    <w:p w14:paraId="142C7CC4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A leggyakoribb mellékhatások </w:t>
      </w:r>
      <w:proofErr w:type="spellStart"/>
      <w:r w:rsidRPr="00152DA3">
        <w:rPr>
          <w:rFonts w:ascii="Helvetica" w:hAnsi="Helvetica" w:cs="Helvetica"/>
          <w:b/>
          <w:bCs/>
          <w:color w:val="000000"/>
          <w:kern w:val="0"/>
        </w:rPr>
        <w:t>gasztrointesztinális</w:t>
      </w:r>
      <w:proofErr w:type="spellEnd"/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 eredetűek</w:t>
      </w:r>
      <w:r w:rsidRPr="00152DA3">
        <w:rPr>
          <w:rFonts w:ascii="Helvetica" w:hAnsi="Helvetica" w:cs="Helvetica"/>
          <w:color w:val="000000"/>
          <w:kern w:val="0"/>
        </w:rPr>
        <w:t xml:space="preserve">, de az XR-formulák jobb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tolerálhatóságot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biztosítanak.</w:t>
      </w:r>
    </w:p>
    <w:p w14:paraId="1A7E2974" w14:textId="77777777" w:rsidR="00F51581" w:rsidRDefault="00152DA3" w:rsidP="00F5158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A tejsavas acidózis ritka, de potenciálisan életveszélyes</w:t>
      </w:r>
      <w:r w:rsidRPr="00152DA3">
        <w:rPr>
          <w:rFonts w:ascii="Helvetica" w:hAnsi="Helvetica" w:cs="Helvetica"/>
          <w:color w:val="000000"/>
          <w:kern w:val="0"/>
        </w:rPr>
        <w:t>, ezért vesekárosodás esetén kerülni kell.</w:t>
      </w:r>
    </w:p>
    <w:p w14:paraId="44B6F93F" w14:textId="3F60C3B1" w:rsidR="00152DA3" w:rsidRDefault="00152DA3" w:rsidP="00F5158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F51581">
        <w:rPr>
          <w:rFonts w:ascii="Helvetica" w:hAnsi="Helvetica" w:cs="Helvetica"/>
          <w:b/>
          <w:bCs/>
          <w:color w:val="000000"/>
          <w:kern w:val="0"/>
        </w:rPr>
        <w:t>A B12-vitamin szintjét ellenőrizni kell</w:t>
      </w:r>
      <w:r w:rsidRPr="00F51581">
        <w:rPr>
          <w:rFonts w:ascii="Helvetica" w:hAnsi="Helvetica" w:cs="Helvetica"/>
          <w:color w:val="000000"/>
          <w:kern w:val="0"/>
        </w:rPr>
        <w:t xml:space="preserve"> hosszú távú kezelés során.</w:t>
      </w:r>
    </w:p>
    <w:p w14:paraId="00FD6CD7" w14:textId="77777777" w:rsidR="00F51581" w:rsidRPr="00F51581" w:rsidRDefault="00F51581" w:rsidP="00F5158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</w:rPr>
      </w:pPr>
    </w:p>
    <w:tbl>
      <w:tblPr>
        <w:tblW w:w="5000" w:type="pct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500"/>
        <w:gridCol w:w="5967"/>
        <w:gridCol w:w="5911"/>
      </w:tblGrid>
      <w:tr w:rsidR="00152DA3" w:rsidRPr="00152DA3" w14:paraId="0D568CA2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3A84B4C9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Kategória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018672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Előnyök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33903E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Hátrányok</w:t>
            </w:r>
          </w:p>
        </w:tc>
      </w:tr>
      <w:tr w:rsidR="00152DA3" w:rsidRPr="00152DA3" w14:paraId="760DAEE3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4C5DD7AD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Hatékonyság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4727E3DC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Hatékonyan csökkenti a HbA1c szintet (~1-1,5%)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05D4ADB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Súlyos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hiperglikémiában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kevésbé hatékony, mint néhány újabb szer.</w:t>
            </w:r>
          </w:p>
        </w:tc>
      </w:tr>
      <w:tr w:rsidR="00152DA3" w:rsidRPr="00152DA3" w14:paraId="662740CD" w14:textId="77777777" w:rsidTr="00DA618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5FB39EC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Testsúlyra gyakorolt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1E9C52A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Súlysemleges vagy enyhe testsúlycsökkenés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03D9919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Nem okoz jelentős testsúlygyarapodást (szemben az inzulinnal vagy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szulfonilureákkal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).</w:t>
            </w:r>
          </w:p>
        </w:tc>
      </w:tr>
      <w:tr w:rsidR="00152DA3" w:rsidRPr="00152DA3" w14:paraId="239EC15C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AEDE7D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Kardiovaszkuláris előnyök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3E3139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Csökkentheti a kardiovaszkuláris eseményeket és mortalitást (UKPDS-adatok)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974744F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Kevésbé kifejezett kardiovaszkuláris védelem, mint GLP-1 RA-k vagy SGLT2-gátlók esetén.</w:t>
            </w:r>
          </w:p>
        </w:tc>
      </w:tr>
      <w:tr w:rsidR="00152DA3" w:rsidRPr="00152DA3" w14:paraId="41EBFAE6" w14:textId="77777777" w:rsidTr="00DA618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C6CA4EA" w14:textId="1A700A25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Alacsony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hipoglikémia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-kockázat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EFF6B38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Monoterápiában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nem okoz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hipoglikémiát</w:t>
            </w:r>
            <w:proofErr w:type="spellEnd"/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7C0FE6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Hipoglikémia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előfordulhat, ha inzulinnal vagy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szulfonilureákkal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kombinálják.</w:t>
            </w:r>
          </w:p>
        </w:tc>
      </w:tr>
      <w:tr w:rsidR="00152DA3" w:rsidRPr="00152DA3" w14:paraId="18A3632D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50528CB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Lipidprofilra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 xml:space="preserve"> gyakorolt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1FAA20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Mérsékelt kedvező hatás (</w:t>
            </w:r>
            <w:r w:rsidRPr="00152DA3">
              <w:rPr>
                <w:rFonts w:ascii="Lucida Grande" w:hAnsi="Lucida Grande" w:cs="Lucida Grande"/>
                <w:color w:val="000000"/>
                <w:kern w:val="0"/>
              </w:rPr>
              <w:t>↓</w:t>
            </w: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LDL, </w:t>
            </w:r>
            <w:r w:rsidRPr="00152DA3">
              <w:rPr>
                <w:rFonts w:ascii="Lucida Grande" w:hAnsi="Lucida Grande" w:cs="Lucida Grande"/>
                <w:color w:val="000000"/>
                <w:kern w:val="0"/>
              </w:rPr>
              <w:t>↓</w:t>
            </w: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TG)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727B04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Kevésbé hatékony, mint a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sztatinok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a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lipidkontrollban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.</w:t>
            </w:r>
          </w:p>
        </w:tc>
      </w:tr>
      <w:tr w:rsidR="00152DA3" w:rsidRPr="00152DA3" w14:paraId="5F0EDD7E" w14:textId="77777777" w:rsidTr="00DA618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7DFAB77" w14:textId="2EB33DD3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Gasztrointesztinális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 xml:space="preserve"> 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t>mellék</w:t>
            </w: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hatások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AC1FAE0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Az elnyújtott hatóanyag-leadású (XR) forma csökkenti a GI mellékhatásokat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EC24CF3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Gyakori: hányinger, hasmenés, puffadás, hasi diszkomfort.</w:t>
            </w:r>
          </w:p>
        </w:tc>
      </w:tr>
      <w:tr w:rsidR="00152DA3" w:rsidRPr="00152DA3" w14:paraId="3267E747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8541518" w14:textId="1F6E9F22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Tejsavas acidózis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kockázata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CBA304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Ritka, de súlyos; főként vese- vagy májkárosodás esetén fordul elő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DDA151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Kerülendő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eGFR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&lt;30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/min/1,73m² esetén. Óvatosság szükséges 30–45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/min között.</w:t>
            </w:r>
          </w:p>
        </w:tc>
      </w:tr>
      <w:tr w:rsidR="00152DA3" w:rsidRPr="00152DA3" w14:paraId="7B399C5D" w14:textId="77777777" w:rsidTr="00DA618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720530D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Vitaminhiány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E1F05C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Hosszú távú alkalmazás B12-vitaminhiányt okozhat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72D2D8F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Vezethet anémiához,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neuropátiához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; rendszeres ellenőrzés ajánlott.</w:t>
            </w:r>
          </w:p>
        </w:tc>
      </w:tr>
      <w:tr w:rsidR="00152DA3" w:rsidRPr="00152DA3" w14:paraId="3F89809A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C309EAF" w14:textId="5B50D29C" w:rsidR="00F51581" w:rsidRPr="00F51581" w:rsidRDefault="00F5158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kern w:val="0"/>
              </w:rPr>
              <w:t>Műtétek,</w:t>
            </w:r>
            <w:r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r w:rsidR="00152DA3"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kontrasztanyag-használat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044860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Nagyobb műtétek vagy kontrasztanyag alkalmazása előtt felfüggesztendő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FD5938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Akut veseelégtelenség és tejsavas acidózis kockázata miatt.</w:t>
            </w:r>
          </w:p>
        </w:tc>
      </w:tr>
      <w:tr w:rsidR="00DA6180" w:rsidRPr="00152DA3" w14:paraId="2DC71552" w14:textId="77777777" w:rsidTr="00DA6180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7A5537D" w14:textId="76860DD2" w:rsidR="00DA6180" w:rsidRPr="00152DA3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Rákmegelőző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C80CF5A" w14:textId="0FCD3564" w:rsidR="00DA6180" w:rsidRPr="00152DA3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Egyes adatok szerint csökkentheti bizonyos ráktípusok (pl.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colorectalis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, emlőrák) kockázatát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49FB3F1" w14:textId="4E85F9CB" w:rsidR="00DA6180" w:rsidRPr="00152DA3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Nem teljesen bizonyított; további kutatások szükségesek.</w:t>
            </w:r>
          </w:p>
        </w:tc>
      </w:tr>
      <w:tr w:rsidR="00DA6180" w:rsidRPr="00152DA3" w14:paraId="5D6D1AC2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8D64678" w14:textId="6B18BD80" w:rsidR="00DA6180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Költség és elérhetőség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F5A4190" w14:textId="7C2C7F64" w:rsidR="00DA6180" w:rsidRPr="00152DA3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Olcsó és széles körben elérhető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3491EE3B" w14:textId="52201856" w:rsidR="00DA6180" w:rsidRPr="00152DA3" w:rsidRDefault="00DA6180" w:rsidP="00DA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Generikus formában világszerte használatos.</w:t>
            </w:r>
          </w:p>
        </w:tc>
      </w:tr>
    </w:tbl>
    <w:p w14:paraId="420B9A0E" w14:textId="5F7BB589" w:rsidR="0095565C" w:rsidRPr="00152DA3" w:rsidRDefault="0095565C" w:rsidP="00152DA3">
      <w:pPr>
        <w:autoSpaceDE w:val="0"/>
        <w:autoSpaceDN w:val="0"/>
        <w:adjustRightInd w:val="0"/>
        <w:spacing w:after="200" w:line="240" w:lineRule="auto"/>
        <w:rPr>
          <w:rFonts w:ascii="Helvetica" w:hAnsi="Helvetica" w:cs="Helvetica"/>
          <w:b/>
          <w:bCs/>
          <w:color w:val="000000"/>
          <w:kern w:val="0"/>
        </w:rPr>
      </w:pPr>
    </w:p>
    <w:sectPr w:rsidR="0095565C" w:rsidRPr="00152DA3" w:rsidSect="00152D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958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3"/>
    <w:rsid w:val="000C3056"/>
    <w:rsid w:val="00152DA3"/>
    <w:rsid w:val="0095565C"/>
    <w:rsid w:val="00A5224A"/>
    <w:rsid w:val="00DA6180"/>
    <w:rsid w:val="00F51581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E2B"/>
  <w15:chartTrackingRefBased/>
  <w15:docId w15:val="{541FA026-698A-4E4C-A6C7-A7525BC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5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5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2D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2D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2D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2D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2D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2D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2D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2D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2D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2D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6C960-D5DF-B54D-9435-37680953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313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2</cp:revision>
  <dcterms:created xsi:type="dcterms:W3CDTF">2025-04-01T06:14:00Z</dcterms:created>
  <dcterms:modified xsi:type="dcterms:W3CDTF">2025-04-01T06:43:00Z</dcterms:modified>
</cp:coreProperties>
</file>