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03FD" w14:textId="7944D6E9" w:rsidR="00152DA3" w:rsidRDefault="00152DA3" w:rsidP="00152DA3">
      <w:pPr>
        <w:autoSpaceDE w:val="0"/>
        <w:autoSpaceDN w:val="0"/>
        <w:adjustRightInd w:val="0"/>
        <w:spacing w:after="300" w:line="240" w:lineRule="auto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color w:val="000000"/>
          <w:kern w:val="0"/>
        </w:rPr>
        <w:t xml:space="preserve">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metformin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az első vonalbeli orális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antihiperglikémiás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szer, amelyet elsősorban a 2-es típusú diabetes mellitus (T2DM) kezelésére alkalmaznak. 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biguanidok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közé tartozik, és hatását 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hepatikus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glükóztermelés csökkentésével, az inzulinérzékenység javításával és a perifériás glükózfelvétel fokozásával fejti ki</w:t>
      </w:r>
    </w:p>
    <w:p w14:paraId="6B0A7B77" w14:textId="77777777" w:rsidR="00152DA3" w:rsidRPr="00152DA3" w:rsidRDefault="00152DA3" w:rsidP="00152DA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>Első vonalbeli terápia</w:t>
      </w:r>
      <w:r w:rsidRPr="00152DA3">
        <w:rPr>
          <w:rFonts w:ascii="Helvetica" w:hAnsi="Helvetica" w:cs="Helvetica"/>
          <w:color w:val="000000"/>
          <w:kern w:val="0"/>
        </w:rPr>
        <w:t xml:space="preserve"> T2DM-ben </w:t>
      </w:r>
      <w:r w:rsidRPr="00F51581">
        <w:rPr>
          <w:rFonts w:ascii="Helvetica" w:hAnsi="Helvetica" w:cs="Helvetica"/>
          <w:i/>
          <w:iCs/>
          <w:color w:val="000000"/>
          <w:kern w:val="0"/>
        </w:rPr>
        <w:t>erős hatékonysága, biztonságossága és alacsony költsége</w:t>
      </w:r>
      <w:r w:rsidRPr="00152DA3">
        <w:rPr>
          <w:rFonts w:ascii="Helvetica" w:hAnsi="Helvetica" w:cs="Helvetica"/>
          <w:color w:val="000000"/>
          <w:kern w:val="0"/>
        </w:rPr>
        <w:t xml:space="preserve"> miatt.</w:t>
      </w:r>
    </w:p>
    <w:p w14:paraId="0C2F7873" w14:textId="77777777" w:rsidR="00152DA3" w:rsidRPr="00152DA3" w:rsidRDefault="00152DA3" w:rsidP="00152DA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>Súlysemleges</w:t>
      </w:r>
      <w:r w:rsidRPr="00152DA3">
        <w:rPr>
          <w:rFonts w:ascii="Helvetica" w:hAnsi="Helvetica" w:cs="Helvetica"/>
          <w:color w:val="000000"/>
          <w:kern w:val="0"/>
        </w:rPr>
        <w:t xml:space="preserve"> és </w:t>
      </w:r>
      <w:r w:rsidRPr="00152DA3">
        <w:rPr>
          <w:rFonts w:ascii="Helvetica" w:hAnsi="Helvetica" w:cs="Helvetica"/>
          <w:b/>
          <w:bCs/>
          <w:color w:val="000000"/>
          <w:kern w:val="0"/>
        </w:rPr>
        <w:t xml:space="preserve">nem okoz </w:t>
      </w:r>
      <w:proofErr w:type="spellStart"/>
      <w:r w:rsidRPr="00152DA3">
        <w:rPr>
          <w:rFonts w:ascii="Helvetica" w:hAnsi="Helvetica" w:cs="Helvetica"/>
          <w:b/>
          <w:bCs/>
          <w:color w:val="000000"/>
          <w:kern w:val="0"/>
        </w:rPr>
        <w:t>hipoglikémiát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, ami előnyösebbé teszi az inzulin vagy a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szulfonilureákhoz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képest.</w:t>
      </w:r>
    </w:p>
    <w:p w14:paraId="142C7CC4" w14:textId="77777777" w:rsidR="00152DA3" w:rsidRPr="00152DA3" w:rsidRDefault="00152DA3" w:rsidP="00152DA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 xml:space="preserve">A leggyakoribb mellékhatások </w:t>
      </w:r>
      <w:proofErr w:type="spellStart"/>
      <w:r w:rsidRPr="00152DA3">
        <w:rPr>
          <w:rFonts w:ascii="Helvetica" w:hAnsi="Helvetica" w:cs="Helvetica"/>
          <w:b/>
          <w:bCs/>
          <w:color w:val="000000"/>
          <w:kern w:val="0"/>
        </w:rPr>
        <w:t>gasztrointesztinális</w:t>
      </w:r>
      <w:proofErr w:type="spellEnd"/>
      <w:r w:rsidRPr="00152DA3">
        <w:rPr>
          <w:rFonts w:ascii="Helvetica" w:hAnsi="Helvetica" w:cs="Helvetica"/>
          <w:b/>
          <w:bCs/>
          <w:color w:val="000000"/>
          <w:kern w:val="0"/>
        </w:rPr>
        <w:t xml:space="preserve"> eredetűek</w:t>
      </w:r>
      <w:r w:rsidRPr="00152DA3">
        <w:rPr>
          <w:rFonts w:ascii="Helvetica" w:hAnsi="Helvetica" w:cs="Helvetica"/>
          <w:color w:val="000000"/>
          <w:kern w:val="0"/>
        </w:rPr>
        <w:t xml:space="preserve">, de az XR-formulák jobb </w:t>
      </w:r>
      <w:proofErr w:type="spellStart"/>
      <w:r w:rsidRPr="00152DA3">
        <w:rPr>
          <w:rFonts w:ascii="Helvetica" w:hAnsi="Helvetica" w:cs="Helvetica"/>
          <w:color w:val="000000"/>
          <w:kern w:val="0"/>
        </w:rPr>
        <w:t>tolerálhatóságot</w:t>
      </w:r>
      <w:proofErr w:type="spellEnd"/>
      <w:r w:rsidRPr="00152DA3">
        <w:rPr>
          <w:rFonts w:ascii="Helvetica" w:hAnsi="Helvetica" w:cs="Helvetica"/>
          <w:color w:val="000000"/>
          <w:kern w:val="0"/>
        </w:rPr>
        <w:t xml:space="preserve"> biztosítanak.</w:t>
      </w:r>
    </w:p>
    <w:p w14:paraId="1A7E2974" w14:textId="77777777" w:rsidR="00F51581" w:rsidRDefault="00152DA3" w:rsidP="00F5158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152DA3">
        <w:rPr>
          <w:rFonts w:ascii="Helvetica" w:hAnsi="Helvetica" w:cs="Helvetica"/>
          <w:b/>
          <w:bCs/>
          <w:color w:val="000000"/>
          <w:kern w:val="0"/>
        </w:rPr>
        <w:t>A tejsavas acidózis ritka, de potenciálisan életveszélyes</w:t>
      </w:r>
      <w:r w:rsidRPr="00152DA3">
        <w:rPr>
          <w:rFonts w:ascii="Helvetica" w:hAnsi="Helvetica" w:cs="Helvetica"/>
          <w:color w:val="000000"/>
          <w:kern w:val="0"/>
        </w:rPr>
        <w:t>, ezért vesekárosodás esetén kerülni kell.</w:t>
      </w:r>
    </w:p>
    <w:p w14:paraId="44B6F93F" w14:textId="3F60C3B1" w:rsidR="00152DA3" w:rsidRDefault="00152DA3" w:rsidP="00F51581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Helvetica" w:hAnsi="Helvetica" w:cs="Helvetica"/>
          <w:color w:val="000000"/>
          <w:kern w:val="0"/>
        </w:rPr>
      </w:pPr>
      <w:r w:rsidRPr="00F51581">
        <w:rPr>
          <w:rFonts w:ascii="Helvetica" w:hAnsi="Helvetica" w:cs="Helvetica"/>
          <w:b/>
          <w:bCs/>
          <w:color w:val="000000"/>
          <w:kern w:val="0"/>
        </w:rPr>
        <w:t>A B12-vitamin szintjét ellenőrizni kell</w:t>
      </w:r>
      <w:r w:rsidRPr="00F51581">
        <w:rPr>
          <w:rFonts w:ascii="Helvetica" w:hAnsi="Helvetica" w:cs="Helvetica"/>
          <w:color w:val="000000"/>
          <w:kern w:val="0"/>
        </w:rPr>
        <w:t xml:space="preserve"> hosszú távú kezelés során.</w:t>
      </w:r>
    </w:p>
    <w:p w14:paraId="00FD6CD7" w14:textId="77777777" w:rsidR="00F51581" w:rsidRPr="00F51581" w:rsidRDefault="00F51581" w:rsidP="00F51581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</w:rPr>
      </w:pPr>
    </w:p>
    <w:tbl>
      <w:tblPr>
        <w:tblW w:w="5000" w:type="pct"/>
        <w:jc w:val="center"/>
        <w:tblBorders>
          <w:top w:val="none" w:sz="6" w:space="0" w:color="auto"/>
          <w:left w:val="none" w:sz="6" w:space="0" w:color="auto"/>
          <w:right w:val="none" w:sz="6" w:space="0" w:color="auto"/>
        </w:tblBorders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500"/>
        <w:gridCol w:w="5967"/>
        <w:gridCol w:w="5911"/>
      </w:tblGrid>
      <w:tr w:rsidR="00152DA3" w:rsidRPr="00152DA3" w14:paraId="0D568CA2" w14:textId="77777777" w:rsidTr="00F51581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3A84B4C9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Kategória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0186721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Előnyök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33903E1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Hátrányok</w:t>
            </w:r>
          </w:p>
        </w:tc>
      </w:tr>
      <w:tr w:rsidR="00152DA3" w:rsidRPr="00152DA3" w14:paraId="760DAEE3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4C5DD7AD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Hatékonyság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4727E3DC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Hatékonyan csökkenti a HbA1c szintet (~1-1,5%)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605D4ADB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Súlyos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hiperglikémiában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kevésbé hatékony, mint néhány újabb szer.</w:t>
            </w:r>
          </w:p>
        </w:tc>
      </w:tr>
      <w:tr w:rsidR="00152DA3" w:rsidRPr="00152DA3" w14:paraId="662740CD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5FB39EC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Testsúlyra gyakorolt hatás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1E9C52A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Súlysemleges vagy enyhe testsúlycsökkenés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03D9919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Nem okoz jelentős testsúlygyarapodást (szemben az inzulinnal vagy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szulfonilureákkal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).</w:t>
            </w:r>
          </w:p>
        </w:tc>
      </w:tr>
      <w:tr w:rsidR="00152DA3" w:rsidRPr="00152DA3" w14:paraId="239EC15C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AEDE7D2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Kardiovaszkuláris előnyök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63E3139E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Csökkentheti a kardiovaszkuláris eseményeket és mortalitást (UKPDS-adatok)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974744F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Kevésbé kifejezett kardiovaszkuláris védelem, mint GLP-1 RA-k vagy SGLT2-gátlók esetén.</w:t>
            </w:r>
          </w:p>
        </w:tc>
      </w:tr>
      <w:tr w:rsidR="00152DA3" w:rsidRPr="00152DA3" w14:paraId="41EBFAE6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C6CA4EA" w14:textId="1A700A25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Alacsony</w:t>
            </w:r>
            <w:r w:rsidR="00F51581">
              <w:rPr>
                <w:rFonts w:ascii="Helvetica" w:hAnsi="Helvetica" w:cs="Helvetica"/>
                <w:b/>
                <w:bCs/>
                <w:color w:val="000000"/>
                <w:kern w:val="0"/>
              </w:rPr>
              <w:br/>
            </w:r>
            <w:proofErr w:type="spellStart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hipoglikémia</w:t>
            </w:r>
            <w:proofErr w:type="spellEnd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-kockázat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EFF6B38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Monoterápiában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nem okoz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hipoglikémiát</w:t>
            </w:r>
            <w:proofErr w:type="spellEnd"/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7C0FE62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Hipoglikémia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előfordulhat, ha inzulinnal vagy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szulfonilureákkal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kombinálják.</w:t>
            </w:r>
          </w:p>
        </w:tc>
      </w:tr>
      <w:tr w:rsidR="00152DA3" w:rsidRPr="00152DA3" w14:paraId="18A3632D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50528CB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Lipidprofilra</w:t>
            </w:r>
            <w:proofErr w:type="spellEnd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 xml:space="preserve"> gyakorolt hatás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1FAA20E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Mérsékelt kedvező hatás (</w:t>
            </w:r>
            <w:r w:rsidRPr="00152DA3">
              <w:rPr>
                <w:rFonts w:ascii="Lucida Grande" w:hAnsi="Lucida Grande" w:cs="Lucida Grande"/>
                <w:color w:val="000000"/>
                <w:kern w:val="0"/>
              </w:rPr>
              <w:t>↓</w:t>
            </w: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LDL, </w:t>
            </w:r>
            <w:r w:rsidRPr="00152DA3">
              <w:rPr>
                <w:rFonts w:ascii="Lucida Grande" w:hAnsi="Lucida Grande" w:cs="Lucida Grande"/>
                <w:color w:val="000000"/>
                <w:kern w:val="0"/>
              </w:rPr>
              <w:t>↓</w:t>
            </w: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TG)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727B04E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Kevésbé hatékony, mint a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sztatinok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a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lipidkontrollban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.</w:t>
            </w:r>
          </w:p>
        </w:tc>
      </w:tr>
      <w:tr w:rsidR="00152DA3" w:rsidRPr="00152DA3" w14:paraId="5715C38D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4F2080B7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Rákmegelőző hatás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CF6D319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Egyes adatok szerint csökkentheti bizonyos ráktípusok (pl.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colorectalis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, emlőrák) kockázatát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140D2374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Nem teljesen bizonyított; további kutatások szükségesek.</w:t>
            </w:r>
          </w:p>
        </w:tc>
      </w:tr>
      <w:tr w:rsidR="00152DA3" w:rsidRPr="00152DA3" w14:paraId="5F0EDD7E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7DFAB77" w14:textId="2EB33DD3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proofErr w:type="spellStart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Gasztrointesztinális</w:t>
            </w:r>
            <w:proofErr w:type="spellEnd"/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 xml:space="preserve"> </w:t>
            </w:r>
            <w:r w:rsidR="00F51581">
              <w:rPr>
                <w:rFonts w:ascii="Helvetica" w:hAnsi="Helvetica" w:cs="Helvetica"/>
                <w:b/>
                <w:bCs/>
                <w:color w:val="000000"/>
                <w:kern w:val="0"/>
              </w:rPr>
              <w:t>mellék</w:t>
            </w: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hatások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AC1FAE0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Az elnyújtott hatóanyag-leadású (XR) forma csökkenti a GI mellékhatásokat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EC24CF3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Gyakori: hányinger, hasmenés, puffadás, hasi diszkomfort.</w:t>
            </w:r>
          </w:p>
        </w:tc>
      </w:tr>
      <w:tr w:rsidR="00152DA3" w:rsidRPr="00152DA3" w14:paraId="3267E747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8541518" w14:textId="1F6E9F22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Tejsavas acidózis</w:t>
            </w:r>
            <w:r w:rsidR="00F51581">
              <w:rPr>
                <w:rFonts w:ascii="Helvetica" w:hAnsi="Helvetica" w:cs="Helvetica"/>
                <w:b/>
                <w:bCs/>
                <w:color w:val="000000"/>
                <w:kern w:val="0"/>
              </w:rPr>
              <w:br/>
            </w: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kockázata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CBA3042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Ritka, de súlyos; főként vese- vagy májkárosodás esetén fordul elő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DDA1516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Kerülendő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eGFR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 &lt;30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mL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/min/1,73m² esetén. Óvatosság szükséges 30–45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mL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/min között.</w:t>
            </w:r>
          </w:p>
        </w:tc>
      </w:tr>
      <w:tr w:rsidR="00152DA3" w:rsidRPr="00152DA3" w14:paraId="7B399C5D" w14:textId="77777777" w:rsidTr="00F51581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720530D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Vitaminhiány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0E1F05C6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Hosszú távú alkalmazás B12-vitaminhiányt okozhat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72D2D8F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 xml:space="preserve">Vezethet anémiához, </w:t>
            </w:r>
            <w:proofErr w:type="spellStart"/>
            <w:r w:rsidRPr="00152DA3">
              <w:rPr>
                <w:rFonts w:ascii="Helvetica" w:hAnsi="Helvetica" w:cs="Helvetica"/>
                <w:color w:val="000000"/>
                <w:kern w:val="0"/>
              </w:rPr>
              <w:t>neuropátiához</w:t>
            </w:r>
            <w:proofErr w:type="spellEnd"/>
            <w:r w:rsidRPr="00152DA3">
              <w:rPr>
                <w:rFonts w:ascii="Helvetica" w:hAnsi="Helvetica" w:cs="Helvetica"/>
                <w:color w:val="000000"/>
                <w:kern w:val="0"/>
              </w:rPr>
              <w:t>; rendszeres ellenőrzés ajánlott.</w:t>
            </w:r>
          </w:p>
        </w:tc>
      </w:tr>
      <w:tr w:rsidR="00152DA3" w:rsidRPr="00152DA3" w14:paraId="3F89809A" w14:textId="77777777" w:rsidTr="00F51581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6C309EAF" w14:textId="5B50D29C" w:rsidR="00F51581" w:rsidRPr="00F51581" w:rsidRDefault="00F5158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kern w:val="0"/>
              </w:rPr>
              <w:t>Műtétek,</w:t>
            </w:r>
            <w:r>
              <w:rPr>
                <w:rFonts w:ascii="Helvetica" w:hAnsi="Helvetica" w:cs="Helvetica"/>
                <w:b/>
                <w:bCs/>
                <w:color w:val="000000"/>
                <w:kern w:val="0"/>
              </w:rPr>
              <w:br/>
            </w:r>
            <w:r w:rsidR="00152DA3"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kontrasztanyag-használat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0448601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Nagyobb műtétek vagy kontrasztanyag alkalmazása előtt felfüggesztendő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7FD59386" w14:textId="77777777" w:rsidR="00152DA3" w:rsidRPr="00152DA3" w:rsidRDefault="00152DA3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Akut veseelégtelenség és tejsavas acidózis kockázata miatt.</w:t>
            </w:r>
          </w:p>
        </w:tc>
      </w:tr>
      <w:tr w:rsidR="00F51581" w:rsidRPr="00152DA3" w14:paraId="5D6D1AC2" w14:textId="77777777" w:rsidTr="00F51581">
        <w:trPr>
          <w:jc w:val="center"/>
        </w:trPr>
        <w:tc>
          <w:tcPr>
            <w:tcW w:w="11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58D64678" w14:textId="76FA5219" w:rsidR="00F51581" w:rsidRDefault="00F51581" w:rsidP="00F5158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b/>
                <w:bCs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b/>
                <w:bCs/>
                <w:color w:val="000000"/>
                <w:kern w:val="0"/>
              </w:rPr>
              <w:t>Költség és elérhetőség</w:t>
            </w:r>
          </w:p>
        </w:tc>
        <w:tc>
          <w:tcPr>
            <w:tcW w:w="19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2F5A4190" w14:textId="7C2C7F64" w:rsidR="00F51581" w:rsidRPr="00152DA3" w:rsidRDefault="00F51581" w:rsidP="00F5158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Olcsó és széles körben elérhető</w:t>
            </w:r>
          </w:p>
        </w:tc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20" w:type="nil"/>
              <w:bottom w:w="28" w:type="dxa"/>
              <w:right w:w="260" w:type="nil"/>
            </w:tcMar>
            <w:vAlign w:val="center"/>
          </w:tcPr>
          <w:p w14:paraId="3491EE3B" w14:textId="52201856" w:rsidR="00F51581" w:rsidRPr="00152DA3" w:rsidRDefault="00F51581" w:rsidP="00F51581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00"/>
                <w:kern w:val="0"/>
              </w:rPr>
            </w:pPr>
            <w:r w:rsidRPr="00152DA3">
              <w:rPr>
                <w:rFonts w:ascii="Helvetica" w:hAnsi="Helvetica" w:cs="Helvetica"/>
                <w:color w:val="000000"/>
                <w:kern w:val="0"/>
              </w:rPr>
              <w:t>Generikus formában világszerte használatos.</w:t>
            </w:r>
          </w:p>
        </w:tc>
      </w:tr>
    </w:tbl>
    <w:p w14:paraId="420B9A0E" w14:textId="5F7BB589" w:rsidR="0095565C" w:rsidRPr="00152DA3" w:rsidRDefault="0095565C" w:rsidP="00152DA3">
      <w:pPr>
        <w:autoSpaceDE w:val="0"/>
        <w:autoSpaceDN w:val="0"/>
        <w:adjustRightInd w:val="0"/>
        <w:spacing w:after="200" w:line="240" w:lineRule="auto"/>
        <w:rPr>
          <w:rFonts w:ascii="Helvetica" w:hAnsi="Helvetica" w:cs="Helvetica"/>
          <w:b/>
          <w:bCs/>
          <w:color w:val="000000"/>
          <w:kern w:val="0"/>
        </w:rPr>
      </w:pPr>
    </w:p>
    <w:sectPr w:rsidR="0095565C" w:rsidRPr="00152DA3" w:rsidSect="00152D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2958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A3"/>
    <w:rsid w:val="000C3056"/>
    <w:rsid w:val="00152DA3"/>
    <w:rsid w:val="0095565C"/>
    <w:rsid w:val="00A5224A"/>
    <w:rsid w:val="00F51581"/>
    <w:rsid w:val="00FA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7E2B"/>
  <w15:chartTrackingRefBased/>
  <w15:docId w15:val="{541FA026-698A-4E4C-A6C7-A7525BCE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5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5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5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5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5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2D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2D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2D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2D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2D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2D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5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5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5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2D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52D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2D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2D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5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D5F4E0-6C55-764A-B415-5F19EA6F6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313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Iglói</dc:creator>
  <cp:keywords/>
  <dc:description/>
  <cp:lastModifiedBy>Gábor Iglói</cp:lastModifiedBy>
  <cp:revision>1</cp:revision>
  <dcterms:created xsi:type="dcterms:W3CDTF">2025-04-01T06:14:00Z</dcterms:created>
  <dcterms:modified xsi:type="dcterms:W3CDTF">2025-04-01T06:33:00Z</dcterms:modified>
</cp:coreProperties>
</file>