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0bb5bb43ba7bf4d7bccc73092326b08c1f6c63"/>
    <w:p>
      <w:pPr>
        <w:pStyle w:val="Heading1"/>
      </w:pPr>
      <w:r>
        <w:t xml:space="preserve">A.S.D. Arcieri del Mare — Relazione sull’attività 2017-2026</w:t>
      </w:r>
    </w:p>
    <w:p>
      <w:pPr>
        <w:pStyle w:val="FirstParagraph"/>
      </w:pPr>
      <w:r>
        <w:t xml:space="preserve">Termoli (CB) · Codice FITARCO 14022</w:t>
      </w:r>
    </w:p>
    <w:bookmarkStart w:id="20" w:name="sintesi"/>
    <w:p>
      <w:pPr>
        <w:pStyle w:val="Heading2"/>
      </w:pPr>
      <w:r>
        <w:t xml:space="preserve">Sintesi</w:t>
      </w:r>
    </w:p>
    <w:p>
      <w:pPr>
        <w:pStyle w:val="FirstParagraph"/>
      </w:pPr>
      <w:r>
        <w:t xml:space="preserve">Fra il 1 gennaio 2017 e il 2 agosto 2026 gli Arcieri del Mare hanno preso parte a 247 gare del calendario federale, con 825 presenze individuali e 65 partecipazioni a squadre, raccogliendo 555 medaglie.</w:t>
      </w:r>
    </w:p>
    <w:p>
      <w:pPr>
        <w:pStyle w:val="BodyText"/>
      </w:pPr>
      <w:r>
        <w:t xml:space="preserve">Nello stesso periodo la società ha organizzato 14 gare a calendario FITARCO, che hanno portato 600 arcieri in gara, di cui 468 tesserati di altre società.</w:t>
      </w:r>
    </w:p>
    <w:bookmarkEnd w:id="20"/>
    <w:bookmarkStart w:id="21" w:name="lattività-agonistica"/>
    <w:p>
      <w:pPr>
        <w:pStyle w:val="Heading2"/>
      </w:pPr>
      <w:r>
        <w:t xml:space="preserve">1. L’attività agonistica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2017-2026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Gare disputate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Presenze individuali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Partecipazioni a squadre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Atleti che hanno gareggiato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Regioni raggiunte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accertate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Medaglie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Argento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Bronzo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squadre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555</w:t>
            </w:r>
          </w:p>
        </w:tc>
      </w:tr>
    </w:tbl>
    <w:p>
      <w:pPr>
        <w:pStyle w:val="BodyText"/>
      </w:pPr>
      <w:r>
        <w:t xml:space="preserve">Il 59,6% delle presenze individuali si è chiuso su un podio.</w:t>
      </w:r>
    </w:p>
    <w:p>
      <w:pPr>
        <w:pStyle w:val="BodyText"/>
      </w:pPr>
      <w:r>
        <w:rPr>
          <w:bCs/>
          <w:b/>
        </w:rPr>
        <w:t xml:space="preserve">Quanto erano affollate le classi.</w:t>
      </w:r>
      <w:r>
        <w:t xml:space="preserve"> </w:t>
      </w:r>
      <w:r>
        <w:t xml:space="preserve">9% dei podi arriva da classi in cui la società era l’unico arciere iscritto, 77% da classi con almeno tre arcieri.</w:t>
      </w:r>
    </w:p>
    <w:bookmarkEnd w:id="21"/>
    <w:bookmarkStart w:id="22" w:name="le-gare-organizzate"/>
    <w:p>
      <w:pPr>
        <w:pStyle w:val="Heading2"/>
      </w:pPr>
      <w:r>
        <w:t xml:space="preserve">2. Le gare organizzate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2017-2026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Gare a calendario federale organizzate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Arcieri in gara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cui tesserati di altre società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468, il 78%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Società diverse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 da 11 comitati regionali</w:t>
            </w:r>
          </w:p>
        </w:tc>
      </w:tr>
    </w:tbl>
    <w:p>
      <w:pPr>
        <w:pStyle w:val="BodyText"/>
      </w:pPr>
      <w:r>
        <w:rPr>
          <w:bCs/>
          <w:b/>
        </w:rPr>
        <w:t xml:space="preserve">[DA COMPLETARE — impianto]</w:t>
      </w:r>
      <w:r>
        <w:t xml:space="preserve"> </w:t>
      </w:r>
      <w:r>
        <w:t xml:space="preserve">Ubicazione, proprietà, titolo di godimento, superficie, piazzole, dotazione tecnica, ore settimanali di apertura.</w:t>
      </w:r>
    </w:p>
    <w:bookmarkEnd w:id="22"/>
    <w:bookmarkStart w:id="23" w:name="il-settore-giovanile"/>
    <w:p>
      <w:pPr>
        <w:pStyle w:val="Heading2"/>
      </w:pPr>
      <w:r>
        <w:t xml:space="preserve">3. Il settore giovanile</w:t>
      </w:r>
    </w:p>
    <w:p>
      <w:pPr>
        <w:pStyle w:val="FirstParagraph"/>
      </w:pPr>
      <w:r>
        <w:rPr>
          <w:bCs/>
          <w:b/>
        </w:rPr>
        <w:t xml:space="preserve">[DA COMPLETARE — attività giovanile]</w:t>
      </w:r>
      <w:r>
        <w:t xml:space="preserve"> </w:t>
      </w:r>
      <w:r>
        <w:t xml:space="preserve">Presenze in gara di atleti giovanili, atleti coinvolti, podi. La definizione di «giovanile» va riconciliata fra le categorie di gara e le classi di tesseramento prima di generarla in automatico.</w:t>
      </w:r>
    </w:p>
    <w:p>
      <w:pPr>
        <w:pStyle w:val="BodyText"/>
      </w:pPr>
      <w:r>
        <w:rPr>
          <w:bCs/>
          <w:b/>
        </w:rPr>
        <w:t xml:space="preserve">[DA COMPLETARE — avviamento]</w:t>
      </w:r>
      <w:r>
        <w:t xml:space="preserve"> </w:t>
      </w:r>
      <w:r>
        <w:t xml:space="preserve">Corsi svolti per anno, allievi iscritti, progetti con le scuole, giornate di prova.</w:t>
      </w:r>
    </w:p>
    <w:bookmarkEnd w:id="23"/>
    <w:bookmarkStart w:id="24" w:name="la-base-sociale"/>
    <w:p>
      <w:pPr>
        <w:pStyle w:val="Heading2"/>
      </w:pPr>
      <w:r>
        <w:t xml:space="preserve">4. La base sociale</w:t>
      </w:r>
    </w:p>
    <w:p>
      <w:pPr>
        <w:pStyle w:val="FirstParagraph"/>
      </w:pPr>
      <w:r>
        <w:t xml:space="preserve">Nel 2026 la società ha 45 tesserati, di cui 14 donne (il 31%) e 11 minorenni. In gara ne sono scesi 25, il 56%.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Tesserati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Scesi in gara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Donne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Minorenni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</w:tbl>
    <w:p>
      <w:pPr>
        <w:pStyle w:val="BodyText"/>
      </w:pPr>
      <w:r>
        <w:rPr>
          <w:bCs/>
          <w:b/>
        </w:rPr>
        <w:t xml:space="preserve">[DA COMPLETARE — organizzazione]</w:t>
      </w:r>
      <w:r>
        <w:t xml:space="preserve"> </w:t>
      </w:r>
      <w:r>
        <w:t xml:space="preserve">Consiglio direttivo, tecnici federali in organico, giudici di gara tesserati, volontari impegnati in una gara tipo.</w:t>
      </w:r>
    </w:p>
    <w:bookmarkEnd w:id="24"/>
    <w:bookmarkStart w:id="25" w:name="la-visibilità-sui-media"/>
    <w:p>
      <w:pPr>
        <w:pStyle w:val="Heading2"/>
      </w:pPr>
      <w:r>
        <w:t xml:space="preserve">5. La visibilità sui media</w:t>
      </w:r>
    </w:p>
    <w:p>
      <w:pPr>
        <w:pStyle w:val="FirstParagraph"/>
      </w:pPr>
      <w:r>
        <w:t xml:space="preserve">L’archivio non conosce questi numeri: li tiene la società, e sono quelli che un bando comunale o regionale chiede per misurare la ricaduta di comunicazione.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2017-2026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Uscite sui media (stampa locale, radio, TV, testate online)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[DA COMPLETARE]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sui canali social della società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[DA COMPLETARE]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Comunicati stampa diffusi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[DA COMPLETARE]</w:t>
            </w:r>
          </w:p>
        </w:tc>
      </w:tr>
    </w:tbl>
    <w:p>
      <w:pPr>
        <w:pStyle w:val="BodyText"/>
      </w:pPr>
      <w:r>
        <w:rPr>
          <w:bCs/>
          <w:b/>
        </w:rPr>
        <w:t xml:space="preserve">[DA COMPLETARE — riscontri principali]</w:t>
      </w:r>
      <w:r>
        <w:t xml:space="preserve"> </w:t>
      </w:r>
      <w:r>
        <w:t xml:space="preserve">Testata, data e titolo dei due o tre pezzi che vale la pena citare.</w:t>
      </w:r>
    </w:p>
    <w:bookmarkEnd w:id="25"/>
    <w:bookmarkStart w:id="26" w:name="la-componente-femminile"/>
    <w:p>
      <w:pPr>
        <w:pStyle w:val="Heading2"/>
      </w:pPr>
      <w:r>
        <w:t xml:space="preserve">6. La componente femminile</w:t>
      </w:r>
    </w:p>
    <w:p>
      <w:pPr>
        <w:pStyle w:val="FirstParagraph"/>
      </w:pPr>
      <w:r>
        <w:t xml:space="preserve">Nel periodo hanno gareggiato 14 atlete, per 69 presenze individuali e 60 medaglie. Le atlete chiudono a podio il 87% delle presenze, contro il 59,6% della media sociale.</w:t>
      </w:r>
    </w:p>
    <w:bookmarkEnd w:id="26"/>
    <w:bookmarkStart w:id="27" w:name="nota"/>
    <w:p>
      <w:pPr>
        <w:pStyle w:val="Heading2"/>
      </w:pPr>
      <w:r>
        <w:t xml:space="preserve">Nota</w:t>
      </w:r>
    </w:p>
    <w:p>
      <w:pPr>
        <w:pStyle w:val="FirstParagraph"/>
      </w:pPr>
      <w:r>
        <w:t xml:space="preserve">Numeri estratti dalle classifiche ufficiali FITARCO il 9 agosto 2026. La posizione è quella assegnata dentro la classe, cioè divisione e categoria d’età insieme; dove la gara prevede la fase a eliminazione diretta vale la posizione finale dopo il tabellone. Le regioni sono ricavate dalla provincia della sede di gara, che 24 gare su 247 non riportano: 13 è quindi un minimo accertato e non un totale.</w:t>
      </w:r>
    </w:p>
    <w:bookmarkEnd w:id="27"/>
    <w:bookmarkEnd w:id="28"/>
    <w:sectPr/>
    <w:pgSz w:w="11906" w:h="16838"/>
    <w:pgMar w:top="1134" w:right="1134" w:bottom="1134" w:left="1134" w:header="709" w:footer="709" w:gutter="0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2026-08-09T12:58:50Z</dcterms:created>
  <dcterms:modified xsi:type="dcterms:W3CDTF">2026-08-09T12:58:50Z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