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4f45a6ad7a769abba45b8d76687c12459715cf2"/>
    <w:p>
      <w:pPr>
        <w:pStyle w:val="Heading1"/>
      </w:pPr>
      <w:r>
        <w:t xml:space="preserve">A.S.D. Arcieri del Mare — Relazione sull’attività 2025</w:t>
      </w:r>
    </w:p>
    <w:p>
      <w:pPr>
        <w:pStyle w:val="FirstParagraph"/>
      </w:pPr>
      <w:r>
        <w:t xml:space="preserve">Termoli (CB) · Codice FITARCO 14022</w:t>
      </w:r>
    </w:p>
    <w:bookmarkStart w:id="20" w:name="sintesi"/>
    <w:p>
      <w:pPr>
        <w:pStyle w:val="Heading2"/>
      </w:pPr>
      <w:r>
        <w:t xml:space="preserve">Sintesi</w:t>
      </w:r>
    </w:p>
    <w:p>
      <w:pPr>
        <w:pStyle w:val="FirstParagraph"/>
      </w:pPr>
      <w:r>
        <w:t xml:space="preserve">Fra il 1° gennaio 2025 e il 31 dicembre 2025 gli Arcieri del Mare hanno preso parte a 40 gare del calendario federale, con 122 presenze individuali e 12 partecipazioni a squadre, raccogliendo 83 medaglie. A queste si aggiungono 2 presenze in 2 manifestazioni nazionali disputate con la rappresentativa regionale, dove l’atleta gareggia per il Molise e non per la società.</w:t>
      </w:r>
    </w:p>
    <w:p>
      <w:pPr>
        <w:pStyle w:val="BodyText"/>
      </w:pPr>
      <w:r>
        <w:t xml:space="preserve">Nello stesso periodo la società ha organizzato 1 gare a calendario FITARCO, che hanno portato 61 partecipazioni complessive, di cui 45 di atleti di altre società, e 15 presenze di club affiliati.</w:t>
      </w:r>
    </w:p>
    <w:bookmarkEnd w:id="20"/>
    <w:bookmarkStart w:id="23" w:name="lattività-agonistica"/>
    <w:p>
      <w:pPr>
        <w:pStyle w:val="Heading2"/>
      </w:pPr>
      <w:r>
        <w:t xml:space="preserve">1. L’attività agonistica</w:t>
      </w:r>
    </w:p>
    <w:p>
      <w:pPr>
        <w:pStyle w:val="FirstParagraph"/>
      </w:pPr>
      <w:r>
        <w:t xml:space="preserve">Gli Arcieri del Mare gareggiano nelle divisioni riconosciute dalla federazione: arco olimpico, arco nudo, compound e longbow. L’attività si svolge nelle due stagioni indoor e outdoor, su calendari interregionali, nazionali e giovanili.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2025</w:t>
            </w:r>
          </w:p>
        </w:tc>
      </w:tr>
      <w:tr>
        <w:tc>
          <w:tcPr/>
          <w:p>
            <w:pPr>
              <w:pStyle w:val="Compact"/>
              <w:jc w:val="left"/>
            </w:pPr>
            <w:r>
              <w:t xml:space="preserve">Gare disputate</w:t>
            </w:r>
          </w:p>
        </w:tc>
        <w:tc>
          <w:tcPr/>
          <w:p>
            <w:pPr>
              <w:pStyle w:val="Compact"/>
              <w:jc w:val="right"/>
            </w:pPr>
            <w:r>
              <w:t xml:space="preserve">40</w:t>
            </w:r>
          </w:p>
        </w:tc>
      </w:tr>
      <w:tr>
        <w:tc>
          <w:tcPr/>
          <w:p>
            <w:pPr>
              <w:pStyle w:val="Compact"/>
              <w:jc w:val="left"/>
            </w:pPr>
            <w:r>
              <w:t xml:space="preserve">Presenze individuali</w:t>
            </w:r>
          </w:p>
        </w:tc>
        <w:tc>
          <w:tcPr/>
          <w:p>
            <w:pPr>
              <w:pStyle w:val="Compact"/>
              <w:jc w:val="right"/>
            </w:pPr>
            <w:r>
              <w:t xml:space="preserve">122</w:t>
            </w:r>
          </w:p>
        </w:tc>
      </w:tr>
      <w:tr>
        <w:tc>
          <w:tcPr/>
          <w:p>
            <w:pPr>
              <w:pStyle w:val="Compact"/>
              <w:jc w:val="left"/>
            </w:pPr>
            <w:r>
              <w:t xml:space="preserve">Partecipazioni a squadre</w:t>
            </w:r>
          </w:p>
        </w:tc>
        <w:tc>
          <w:tcPr/>
          <w:p>
            <w:pPr>
              <w:pStyle w:val="Compact"/>
              <w:jc w:val="right"/>
            </w:pPr>
            <w:r>
              <w:t xml:space="preserve">12</w:t>
            </w:r>
          </w:p>
        </w:tc>
      </w:tr>
      <w:tr>
        <w:tc>
          <w:tcPr/>
          <w:p>
            <w:pPr>
              <w:pStyle w:val="Compact"/>
              <w:jc w:val="left"/>
            </w:pPr>
            <w:r>
              <w:t xml:space="preserve">Atleti che hanno gareggiato</w:t>
            </w:r>
          </w:p>
        </w:tc>
        <w:tc>
          <w:tcPr/>
          <w:p>
            <w:pPr>
              <w:pStyle w:val="Compact"/>
              <w:jc w:val="right"/>
            </w:pPr>
            <w:r>
              <w:t xml:space="preserve">17</w:t>
            </w:r>
          </w:p>
        </w:tc>
      </w:tr>
      <w:tr>
        <w:tc>
          <w:tcPr/>
          <w:p>
            <w:pPr>
              <w:pStyle w:val="Compact"/>
              <w:jc w:val="left"/>
            </w:pPr>
            <w:r>
              <w:t xml:space="preserve">Regioni raggiunte</w:t>
            </w:r>
          </w:p>
        </w:tc>
        <w:tc>
          <w:tcPr/>
          <w:p>
            <w:pPr>
              <w:pStyle w:val="Compact"/>
              <w:jc w:val="right"/>
            </w:pPr>
            <w:r>
              <w:t xml:space="preserve">8 accertate</w:t>
            </w:r>
          </w:p>
        </w:tc>
      </w:tr>
    </w:tbl>
    <w:p>
      <w:pPr>
        <w:pStyle w:val="BodyText"/>
      </w:pPr>
      <w:r>
        <w:t xml:space="preserve">Le regioni sono ricavate dalla provincia della sede di gara, riportata da tutte le 40 gare del periodo.</w:t>
      </w:r>
    </w:p>
    <w:p>
      <w:pPr>
        <w:pStyle w:val="BodyText"/>
      </w:pPr>
      <w:r>
        <w:t xml:space="preserve">Il rendimento sportivo è documentato dalle classifiche ufficiali della federazione. La posizione è quella assegnata dentro la classe, cioè divisione e categoria d’età insieme, che è il gruppo con cui si gareggia davvero; dove la gara prevede la fase a eliminazione diretta vale la posizione finale dopo il tabellone.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Medaglie</w:t>
            </w:r>
          </w:p>
        </w:tc>
        <w:tc>
          <w:tcPr/>
          <w:p>
            <w:pPr>
              <w:pStyle w:val="Compact"/>
              <w:jc w:val="right"/>
            </w:pPr>
            <w:r>
              <w:t xml:space="preserve">Oro</w:t>
            </w:r>
          </w:p>
        </w:tc>
        <w:tc>
          <w:tcPr/>
          <w:p>
            <w:pPr>
              <w:pStyle w:val="Compact"/>
              <w:jc w:val="right"/>
            </w:pPr>
            <w:r>
              <w:t xml:space="preserve">Argento</w:t>
            </w:r>
          </w:p>
        </w:tc>
        <w:tc>
          <w:tcPr/>
          <w:p>
            <w:pPr>
              <w:pStyle w:val="Compact"/>
              <w:jc w:val="right"/>
            </w:pPr>
            <w:r>
              <w:t xml:space="preserve">Bronzo</w:t>
            </w:r>
          </w:p>
        </w:tc>
        <w:tc>
          <w:tcPr/>
          <w:p>
            <w:pPr>
              <w:pStyle w:val="Compact"/>
              <w:jc w:val="right"/>
            </w:pPr>
            <w:r>
              <w:t xml:space="preserve">Totale</w:t>
            </w:r>
          </w:p>
        </w:tc>
      </w:tr>
      <w:tr>
        <w:tc>
          <w:tcPr/>
          <w:p>
            <w:pPr>
              <w:pStyle w:val="Compact"/>
              <w:jc w:val="left"/>
            </w:pPr>
            <w:r>
              <w:t xml:space="preserve">Individuali</w:t>
            </w:r>
          </w:p>
        </w:tc>
        <w:tc>
          <w:tcPr/>
          <w:p>
            <w:pPr>
              <w:pStyle w:val="Compact"/>
              <w:jc w:val="right"/>
            </w:pPr>
            <w:r>
              <w:t xml:space="preserve">27</w:t>
            </w:r>
          </w:p>
        </w:tc>
        <w:tc>
          <w:tcPr/>
          <w:p>
            <w:pPr>
              <w:pStyle w:val="Compact"/>
              <w:jc w:val="right"/>
            </w:pPr>
            <w:r>
              <w:t xml:space="preserve">24</w:t>
            </w:r>
          </w:p>
        </w:tc>
        <w:tc>
          <w:tcPr/>
          <w:p>
            <w:pPr>
              <w:pStyle w:val="Compact"/>
              <w:jc w:val="right"/>
            </w:pPr>
            <w:r>
              <w:t xml:space="preserve">20</w:t>
            </w:r>
          </w:p>
        </w:tc>
        <w:tc>
          <w:tcPr/>
          <w:p>
            <w:pPr>
              <w:pStyle w:val="Compact"/>
              <w:jc w:val="right"/>
            </w:pPr>
            <w:r>
              <w:t xml:space="preserve">71</w:t>
            </w:r>
          </w:p>
        </w:tc>
      </w:tr>
      <w:tr>
        <w:tc>
          <w:tcPr/>
          <w:p>
            <w:pPr>
              <w:pStyle w:val="Compact"/>
              <w:jc w:val="left"/>
            </w:pPr>
            <w:r>
              <w:t xml:space="preserve">A squadre</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r>
      <w:tr>
        <w:tc>
          <w:tcPr/>
          <w:p>
            <w:pPr>
              <w:pStyle w:val="Compact"/>
              <w:jc w:val="left"/>
            </w:pPr>
            <w:r>
              <w:rPr>
                <w:bCs/>
                <w:b/>
              </w:rPr>
              <w:t xml:space="preserve">Totale</w:t>
            </w:r>
          </w:p>
        </w:tc>
        <w:tc>
          <w:tcPr/>
          <w:p>
            <w:pPr>
              <w:pStyle w:val="Compact"/>
              <w:jc w:val="right"/>
            </w:pPr>
            <w:r>
              <w:rPr>
                <w:bCs/>
                <w:b/>
              </w:rPr>
              <w:t xml:space="preserve">38</w:t>
            </w:r>
          </w:p>
        </w:tc>
        <w:tc>
          <w:tcPr/>
          <w:p>
            <w:pPr>
              <w:pStyle w:val="Compact"/>
              <w:jc w:val="right"/>
            </w:pPr>
            <w:r>
              <w:rPr>
                <w:bCs/>
                <w:b/>
              </w:rPr>
              <w:t xml:space="preserve">25</w:t>
            </w:r>
          </w:p>
        </w:tc>
        <w:tc>
          <w:tcPr/>
          <w:p>
            <w:pPr>
              <w:pStyle w:val="Compact"/>
              <w:jc w:val="right"/>
            </w:pPr>
            <w:r>
              <w:rPr>
                <w:bCs/>
                <w:b/>
              </w:rPr>
              <w:t xml:space="preserve">20</w:t>
            </w:r>
          </w:p>
        </w:tc>
        <w:tc>
          <w:tcPr/>
          <w:p>
            <w:pPr>
              <w:pStyle w:val="Compact"/>
              <w:jc w:val="right"/>
            </w:pPr>
            <w:r>
              <w:rPr>
                <w:bCs/>
                <w:b/>
              </w:rPr>
              <w:t xml:space="preserve">83</w:t>
            </w:r>
          </w:p>
        </w:tc>
      </w:tr>
    </w:tbl>
    <w:p>
      <w:pPr>
        <w:pStyle w:val="BodyText"/>
      </w:pPr>
      <w:r>
        <w:t xml:space="preserve">Il 58,2% delle presenze individuali si è chiuso su un podio. È un valore che descrive una società capace di portare in gara atleti competitivi con continuità, non un singolo interprete di livello isolato.</w:t>
      </w:r>
    </w:p>
    <w:p>
      <w:pPr>
        <w:pStyle w:val="BodyText"/>
      </w:pPr>
      <w:r>
        <w:rPr>
          <w:bCs/>
          <w:b/>
        </w:rPr>
        <w:t xml:space="preserve">Quanto erano affollate le classi.</w:t>
      </w:r>
      <w:r>
        <w:t xml:space="preserve"> </w:t>
      </w:r>
      <w:r>
        <w:t xml:space="preserve">17% dei podi arriva da classi in cui la società era l’unico arciere iscritto, 75% da classi con almeno tre arcieri. Il dato serve a leggere il medagliere per quello che è: una parte dei podi arriva da classi affollate, una parte da classi in cui la concorrenza era scarsa o assente.</w:t>
      </w:r>
    </w:p>
    <w:bookmarkStart w:id="21" w:name="i-calendari-frequentati"/>
    <w:p>
      <w:pPr>
        <w:pStyle w:val="Heading3"/>
      </w:pPr>
      <w:r>
        <w:t xml:space="preserve">1.1 I calendari frequentati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Calendario</w:t>
            </w:r>
          </w:p>
        </w:tc>
        <w:tc>
          <w:tcPr/>
          <w:p>
            <w:pPr>
              <w:pStyle w:val="Compact"/>
              <w:jc w:val="right"/>
            </w:pPr>
            <w:r>
              <w:t xml:space="preserve">Gare</w:t>
            </w:r>
          </w:p>
        </w:tc>
        <w:tc>
          <w:tcPr/>
          <w:p>
            <w:pPr>
              <w:pStyle w:val="Compact"/>
              <w:jc w:val="right"/>
            </w:pPr>
            <w:r>
              <w:t xml:space="preserve">Presenze</w:t>
            </w:r>
          </w:p>
        </w:tc>
      </w:tr>
      <w:tr>
        <w:tc>
          <w:tcPr/>
          <w:p>
            <w:pPr>
              <w:pStyle w:val="Compact"/>
              <w:jc w:val="left"/>
            </w:pPr>
            <w:r>
              <w:t xml:space="preserve">Interregionale</w:t>
            </w:r>
          </w:p>
        </w:tc>
        <w:tc>
          <w:tcPr/>
          <w:p>
            <w:pPr>
              <w:pStyle w:val="Compact"/>
              <w:jc w:val="right"/>
            </w:pPr>
            <w:r>
              <w:t xml:space="preserve">35</w:t>
            </w:r>
          </w:p>
        </w:tc>
        <w:tc>
          <w:tcPr/>
          <w:p>
            <w:pPr>
              <w:pStyle w:val="Compact"/>
              <w:jc w:val="right"/>
            </w:pPr>
            <w:r>
              <w:t xml:space="preserve">116</w:t>
            </w:r>
          </w:p>
        </w:tc>
      </w:tr>
      <w:tr>
        <w:tc>
          <w:tcPr/>
          <w:p>
            <w:pPr>
              <w:pStyle w:val="Compact"/>
              <w:jc w:val="left"/>
            </w:pPr>
            <w:r>
              <w:t xml:space="preserve">Nazionale</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Giovanile</w:t>
            </w:r>
          </w:p>
        </w:tc>
        <w:tc>
          <w:tcPr/>
          <w:p>
            <w:pPr>
              <w:pStyle w:val="Compact"/>
              <w:jc w:val="right"/>
            </w:pPr>
            <w:r>
              <w:t xml:space="preserve">1</w:t>
            </w:r>
          </w:p>
        </w:tc>
        <w:tc>
          <w:tcPr/>
          <w:p>
            <w:pPr>
              <w:pStyle w:val="Compact"/>
              <w:jc w:val="right"/>
            </w:pPr>
            <w:r>
              <w:t xml:space="preserve">1</w:t>
            </w:r>
          </w:p>
        </w:tc>
      </w:tr>
    </w:tbl>
    <w:p>
      <w:pPr>
        <w:pStyle w:val="BodyText"/>
      </w:pPr>
      <w:r>
        <w:t xml:space="preserve">Il calendario di appartenenza è dichiarato dalla prima lettera del codice gara federale. La presenza sui calendari superiori è il canale attraverso cui il Molise partecipa alla competizione nazionale in questa disciplina.</w:t>
      </w:r>
    </w:p>
    <w:bookmarkEnd w:id="21"/>
    <w:bookmarkStart w:id="22" w:name="Xe34bb9479cc399c45bc078011dfac0cb500900f"/>
    <w:p>
      <w:pPr>
        <w:pStyle w:val="Heading3"/>
      </w:pPr>
      <w:r>
        <w:t xml:space="preserve">1.2 Le convocazioni in rappresentativa regionale</w:t>
      </w:r>
    </w:p>
    <w:p>
      <w:pPr>
        <w:pStyle w:val="FirstParagraph"/>
      </w:pPr>
      <w:r>
        <w:t xml:space="preserve">Alle gare disputate per la società si affiancano le manifestazioni in cui l’atleta è convocato dal comitato regionale e gareggia per il Molise. In classifica compare con il codice del comitato, non con quello del club, e per questo i risultati non entrano nel medagliere sociale.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2025</w:t>
            </w:r>
          </w:p>
        </w:tc>
      </w:tr>
      <w:tr>
        <w:tc>
          <w:tcPr/>
          <w:p>
            <w:pPr>
              <w:pStyle w:val="Compact"/>
              <w:jc w:val="left"/>
            </w:pPr>
            <w:r>
              <w:t xml:space="preserve">Manifestazioni</w:t>
            </w:r>
          </w:p>
        </w:tc>
        <w:tc>
          <w:tcPr/>
          <w:p>
            <w:pPr>
              <w:pStyle w:val="Compact"/>
              <w:jc w:val="right"/>
            </w:pPr>
            <w:r>
              <w:t xml:space="preserve">2</w:t>
            </w:r>
          </w:p>
        </w:tc>
      </w:tr>
      <w:tr>
        <w:tc>
          <w:tcPr/>
          <w:p>
            <w:pPr>
              <w:pStyle w:val="Compact"/>
              <w:jc w:val="left"/>
            </w:pPr>
            <w:r>
              <w:t xml:space="preserve">Presenze</w:t>
            </w:r>
          </w:p>
        </w:tc>
        <w:tc>
          <w:tcPr/>
          <w:p>
            <w:pPr>
              <w:pStyle w:val="Compact"/>
              <w:jc w:val="right"/>
            </w:pPr>
            <w:r>
              <w:t xml:space="preserve">2</w:t>
            </w:r>
          </w:p>
        </w:tc>
      </w:tr>
      <w:tr>
        <w:tc>
          <w:tcPr/>
          <w:p>
            <w:pPr>
              <w:pStyle w:val="Compact"/>
              <w:jc w:val="left"/>
            </w:pPr>
            <w:r>
              <w:t xml:space="preserve">Atleti convocati</w:t>
            </w:r>
          </w:p>
        </w:tc>
        <w:tc>
          <w:tcPr/>
          <w:p>
            <w:pPr>
              <w:pStyle w:val="Compact"/>
              <w:jc w:val="right"/>
            </w:pPr>
            <w:r>
              <w:t xml:space="preserve">2</w:t>
            </w:r>
          </w:p>
        </w:tc>
      </w:tr>
      <w:tr>
        <w:tc>
          <w:tcPr/>
          <w:p>
            <w:pPr>
              <w:pStyle w:val="Compact"/>
              <w:jc w:val="left"/>
            </w:pPr>
            <w:r>
              <w:t xml:space="preserve">Miglior piazzamento</w:t>
            </w:r>
          </w:p>
        </w:tc>
        <w:tc>
          <w:tcPr/>
          <w:p>
            <w:pPr>
              <w:pStyle w:val="Compact"/>
              <w:jc w:val="right"/>
            </w:pPr>
            <w:r>
              <w:t xml:space="preserve">9°</w:t>
            </w:r>
          </w:p>
        </w:tc>
      </w:tr>
    </w:tbl>
    <w:p>
      <w:pPr>
        <w:pStyle w:val="BodyText"/>
      </w:pPr>
      <w:r>
        <w:t xml:space="preserve">Le manifestazioni sono Coppa Italia delle Regioni, con 1 presenza; Trofeo Pinocchio, con 1 presenza. In una gara nazionale a rappresentative il campo di partenza è tutt’altra cosa rispetto a una interregionale: il piazzamento va letto come misura del livello raggiunto, non del bottino.</w:t>
      </w:r>
    </w:p>
    <w:bookmarkEnd w:id="22"/>
    <w:bookmarkEnd w:id="23"/>
    <w:bookmarkStart w:id="25" w:name="Xce3d847147a86e7940ed378941c7922ad7e02e0"/>
    <w:p>
      <w:pPr>
        <w:pStyle w:val="Heading2"/>
      </w:pPr>
      <w:r>
        <w:t xml:space="preserve">2. Le gare organizzate dagli Arcieri del Mare</w:t>
      </w:r>
    </w:p>
    <w:p>
      <w:pPr>
        <w:pStyle w:val="FirstParagraph"/>
      </w:pPr>
      <w:r>
        <w:t xml:space="preserve">La società organizza gare a calendario federale, che portano in Molise atleti e accompagnatori da fuori regione. Ogni evento occupa una giornata piena, richiede un impianto omologato, giudici federali designati e un comitato organizzatore.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w:t>
            </w:r>
          </w:p>
        </w:tc>
        <w:tc>
          <w:tcPr/>
          <w:p>
            <w:pPr>
              <w:pStyle w:val="Compact"/>
              <w:jc w:val="left"/>
            </w:pPr>
            <w:r>
              <w:t xml:space="preserve">Denominazione</w:t>
            </w:r>
          </w:p>
        </w:tc>
        <w:tc>
          <w:tcPr/>
          <w:p>
            <w:pPr>
              <w:pStyle w:val="Compact"/>
              <w:jc w:val="right"/>
            </w:pPr>
            <w:r>
              <w:t xml:space="preserve">Partecipanti</w:t>
            </w:r>
          </w:p>
        </w:tc>
        <w:tc>
          <w:tcPr/>
          <w:p>
            <w:pPr>
              <w:pStyle w:val="Compact"/>
              <w:jc w:val="right"/>
            </w:pPr>
            <w:r>
              <w:t xml:space="preserve">Società</w:t>
            </w:r>
          </w:p>
        </w:tc>
      </w:tr>
      <w:tr>
        <w:tc>
          <w:tcPr/>
          <w:p>
            <w:pPr>
              <w:pStyle w:val="Compact"/>
              <w:jc w:val="left"/>
            </w:pPr>
            <w:r>
              <w:t xml:space="preserve">23-11-2025</w:t>
            </w:r>
          </w:p>
        </w:tc>
        <w:tc>
          <w:tcPr/>
          <w:p>
            <w:pPr>
              <w:pStyle w:val="Compact"/>
              <w:jc w:val="left"/>
            </w:pPr>
            <w:r>
              <w:t xml:space="preserve">Campionato regionale indoor Molise</w:t>
            </w:r>
          </w:p>
        </w:tc>
        <w:tc>
          <w:tcPr/>
          <w:p>
            <w:pPr>
              <w:pStyle w:val="Compact"/>
              <w:jc w:val="right"/>
            </w:pPr>
            <w:r>
              <w:t xml:space="preserve">61</w:t>
            </w:r>
          </w:p>
        </w:tc>
        <w:tc>
          <w:tcPr/>
          <w:p>
            <w:pPr>
              <w:pStyle w:val="Compact"/>
              <w:jc w:val="right"/>
            </w:pPr>
            <w:r>
              <w:t xml:space="preserve">15</w:t>
            </w:r>
          </w:p>
        </w:tc>
      </w:tr>
      <w:tr>
        <w:tc>
          <w:tcPr/>
          <w:p>
            <w:pPr>
              <w:pStyle w:val="Compact"/>
              <w:jc w:val="left"/>
            </w:pPr>
            <w:r>
              <w:rPr>
                <w:bCs/>
                <w:b/>
              </w:rPr>
              <w:t xml:space="preserve">Totale</w:t>
            </w:r>
          </w:p>
        </w:tc>
        <w:tc>
          <w:tcPr/>
          <w:p>
            <w:pPr>
              <w:pStyle w:val="Compact"/>
              <w:jc w:val="left"/>
            </w:pPr>
            <w:r>
              <w:rPr>
                <w:bCs/>
                <w:b/>
              </w:rPr>
              <w:t xml:space="preserve">1 gare</w:t>
            </w:r>
          </w:p>
        </w:tc>
        <w:tc>
          <w:tcPr/>
          <w:p>
            <w:pPr>
              <w:pStyle w:val="Compact"/>
              <w:jc w:val="right"/>
            </w:pPr>
            <w:r>
              <w:rPr>
                <w:bCs/>
                <w:b/>
              </w:rPr>
              <w:t xml:space="preserve">61</w:t>
            </w:r>
          </w:p>
        </w:tc>
        <w:tc>
          <w:tcPr/>
          <w:p>
            <w:pPr>
              <w:pStyle w:val="Compact"/>
              <w:jc w:val="right"/>
            </w:pPr>
            <w:r>
              <w:rPr>
                <w:bCs/>
                <w:b/>
              </w:rPr>
              <w:t xml:space="preserve">15</w:t>
            </w:r>
          </w:p>
        </w:tc>
      </w:tr>
    </w:tbl>
    <w:p>
      <w:pPr>
        <w:pStyle w:val="BodyText"/>
      </w:pPr>
      <w:r>
        <w:t xml:space="preserve">I numeri sono contati sulle classifiche ufficiali FITARCO di ciascuna gara, riga per riga. La colonna «Società» conta le società presenti in ogni singola gara, quindi lo stesso club tornato più volte pesa più volte. Le denominazioni sono quelle dell’archivio federale, ripulite dalle abbreviazioni di trascrizione.</w:t>
      </w:r>
    </w:p>
    <w:p>
      <w:pPr>
        <w:pStyle w:val="BodyText"/>
      </w:pPr>
      <w:r>
        <w:rPr>
          <w:bCs/>
          <w:b/>
        </w:rPr>
        <w:t xml:space="preserve">L’ampiezza del bacino.</w:t>
      </w:r>
      <w:r>
        <w:t xml:space="preserve"> </w:t>
      </w:r>
      <w:r>
        <w:t xml:space="preserve">Le 15 presenze di società corrispondono a 15 club distinti, molti dei quali tornati più volte, affiliati a 7 comitati regionali. Sono presenze che si traducono in pernottamenti, ristorazione e movimento economico locale, in buona parte in mesi di bassa stagione turistica.</w:t>
      </w:r>
    </w:p>
    <w:p>
      <w:pPr>
        <w:pStyle w:val="BodyText"/>
      </w:pPr>
      <w:r>
        <w:rPr>
          <w:bCs/>
          <w:b/>
        </w:rPr>
        <w:t xml:space="preserve">[DA COMPLETARE — anzianità della manifestazione]</w:t>
      </w:r>
      <w:r>
        <w:t xml:space="preserve"> </w:t>
      </w:r>
      <w:r>
        <w:t xml:space="preserve">Anno della prima edizione dei tornei storici della società e gare organizzate prima dell’inizio dell’archivio, con il relativo numero di partecipanti.</w:t>
      </w:r>
    </w:p>
    <w:bookmarkStart w:id="24" w:name="la-continuità-organizzativa"/>
    <w:p>
      <w:pPr>
        <w:pStyle w:val="Heading3"/>
      </w:pPr>
      <w:r>
        <w:t xml:space="preserve">2.1 La continuità organizzativa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right"/>
            </w:pPr>
            <w:r>
              <w:t xml:space="preserve">Gare</w:t>
            </w:r>
          </w:p>
        </w:tc>
      </w:tr>
      <w:tr>
        <w:tc>
          <w:tcPr/>
          <w:p>
            <w:pPr>
              <w:pStyle w:val="Compact"/>
              <w:jc w:val="left"/>
            </w:pPr>
            <w:r>
              <w:t xml:space="preserve">2025</w:t>
            </w:r>
          </w:p>
        </w:tc>
        <w:tc>
          <w:tcPr/>
          <w:p>
            <w:pPr>
              <w:pStyle w:val="Compact"/>
              <w:jc w:val="right"/>
            </w:pPr>
            <w:r>
              <w:t xml:space="preserve">1</w:t>
            </w:r>
          </w:p>
        </w:tc>
      </w:tr>
    </w:tbl>
    <w:p>
      <w:pPr>
        <w:pStyle w:val="BodyText"/>
      </w:pPr>
      <w:r>
        <w:rPr>
          <w:bCs/>
          <w:b/>
        </w:rPr>
        <w:t xml:space="preserve">[DA COMPLETARE — impianto]</w:t>
      </w:r>
      <w:r>
        <w:t xml:space="preserve"> </w:t>
      </w:r>
      <w:r>
        <w:t xml:space="preserve">Ubicazione, proprietà, titolo di godimento, superficie, piazzole, dotazione tecnica, ore settimanali di apertura, interventi di adeguamento necessari.</w:t>
      </w:r>
    </w:p>
    <w:bookmarkEnd w:id="24"/>
    <w:bookmarkEnd w:id="25"/>
    <w:bookmarkStart w:id="26" w:name="il-settore-giovanile"/>
    <w:p>
      <w:pPr>
        <w:pStyle w:val="Heading2"/>
      </w:pPr>
      <w:r>
        <w:t xml:space="preserve">3. Il settore giovanile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2025</w:t>
            </w:r>
          </w:p>
        </w:tc>
      </w:tr>
      <w:tr>
        <w:tc>
          <w:tcPr/>
          <w:p>
            <w:pPr>
              <w:pStyle w:val="Compact"/>
              <w:jc w:val="left"/>
            </w:pPr>
            <w:r>
              <w:t xml:space="preserve">Presenze in gara di atleti giovanili</w:t>
            </w:r>
          </w:p>
        </w:tc>
        <w:tc>
          <w:tcPr/>
          <w:p>
            <w:pPr>
              <w:pStyle w:val="Compact"/>
              <w:jc w:val="right"/>
            </w:pPr>
            <w:r>
              <w:t xml:space="preserve">9</w:t>
            </w:r>
          </w:p>
        </w:tc>
      </w:tr>
      <w:tr>
        <w:tc>
          <w:tcPr/>
          <w:p>
            <w:pPr>
              <w:pStyle w:val="Compact"/>
              <w:jc w:val="left"/>
            </w:pPr>
            <w:r>
              <w:t xml:space="preserve">Atleti giovanili che hanno gareggiato</w:t>
            </w:r>
          </w:p>
        </w:tc>
        <w:tc>
          <w:tcPr/>
          <w:p>
            <w:pPr>
              <w:pStyle w:val="Compact"/>
              <w:jc w:val="right"/>
            </w:pPr>
            <w:r>
              <w:t xml:space="preserve">2</w:t>
            </w:r>
          </w:p>
        </w:tc>
      </w:tr>
      <w:tr>
        <w:tc>
          <w:tcPr/>
          <w:p>
            <w:pPr>
              <w:pStyle w:val="Compact"/>
              <w:jc w:val="left"/>
            </w:pPr>
            <w:r>
              <w:t xml:space="preserve">Podi conquistati</w:t>
            </w:r>
          </w:p>
        </w:tc>
        <w:tc>
          <w:tcPr/>
          <w:p>
            <w:pPr>
              <w:pStyle w:val="Compact"/>
              <w:jc w:val="right"/>
            </w:pPr>
            <w:r>
              <w:t xml:space="preserve">8</w:t>
            </w:r>
          </w:p>
        </w:tc>
      </w:tr>
      <w:tr>
        <w:tc>
          <w:tcPr/>
          <w:p>
            <w:pPr>
              <w:pStyle w:val="Compact"/>
              <w:jc w:val="left"/>
            </w:pPr>
            <w:r>
              <w:t xml:space="preserve">di cui primi posti</w:t>
            </w:r>
          </w:p>
        </w:tc>
        <w:tc>
          <w:tcPr/>
          <w:p>
            <w:pPr>
              <w:pStyle w:val="Compact"/>
              <w:jc w:val="right"/>
            </w:pPr>
            <w:r>
              <w:t xml:space="preserve">7</w:t>
            </w:r>
          </w:p>
        </w:tc>
      </w:tr>
      <w:tr>
        <w:tc>
          <w:tcPr/>
          <w:p>
            <w:pPr>
              <w:pStyle w:val="Compact"/>
              <w:jc w:val="left"/>
            </w:pPr>
            <w:r>
              <w:t xml:space="preserve">Partecipazioni giovanili accolte nelle gare organizzate</w:t>
            </w:r>
          </w:p>
        </w:tc>
        <w:tc>
          <w:tcPr/>
          <w:p>
            <w:pPr>
              <w:pStyle w:val="Compact"/>
              <w:jc w:val="right"/>
            </w:pPr>
            <w:r>
              <w:t xml:space="preserve">10</w:t>
            </w:r>
          </w:p>
        </w:tc>
      </w:tr>
    </w:tbl>
    <w:p>
      <w:pPr>
        <w:pStyle w:val="BodyText"/>
      </w:pPr>
      <w:r>
        <w:t xml:space="preserve">Le categorie considerate sono pulcini, giovanissimi, ragazzi, allievi e juniores della classificazione federale, più le fasce scolastiche del Trofeo Pinocchio, il circuito nazionale riservato ai più piccoli.</w:t>
      </w:r>
    </w:p>
    <w:p>
      <w:pPr>
        <w:pStyle w:val="BodyText"/>
      </w:pPr>
      <w:r>
        <w:t xml:space="preserve">Al risultato dei propri tesserati si affianca il servizio reso al territorio: nelle 1 gare organizzate sono transitate 10 partecipazioni di atleti under 21, il 16% delle 61 complessive.</w:t>
      </w:r>
    </w:p>
    <w:p>
      <w:pPr>
        <w:pStyle w:val="BodyText"/>
      </w:pPr>
      <w:r>
        <w:rPr>
          <w:bCs/>
          <w:b/>
        </w:rPr>
        <w:t xml:space="preserve">[DA COMPLETARE — attività di avviamento]</w:t>
      </w:r>
      <w:r>
        <w:t xml:space="preserve"> </w:t>
      </w:r>
      <w:r>
        <w:t xml:space="preserve">Corsi di avviamento svolti per anno, allievi iscritti, progetti con istituti scolastici, giornate di prova gratuita, manifestazioni promozionali non federali. Sono dati che non compaiono negli archivi FITARCO e che la società possiede.</w:t>
      </w:r>
    </w:p>
    <w:bookmarkEnd w:id="26"/>
    <w:bookmarkStart w:id="27" w:name="la-base-sociale"/>
    <w:p>
      <w:pPr>
        <w:pStyle w:val="Heading2"/>
      </w:pPr>
      <w:r>
        <w:t xml:space="preserve">4. La base sociale</w:t>
      </w:r>
    </w:p>
    <w:p>
      <w:pPr>
        <w:pStyle w:val="FirstParagraph"/>
      </w:pPr>
      <w:r>
        <w:t xml:space="preserve">Nel 2025 la società ha 21 tesserati, di cui 3 donne (il 14%) e 3 minorenni. L’età media è di 43,1 anni. In gara ne sono scesi 12, il 57%.</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Tesserati</w:t>
            </w:r>
          </w:p>
        </w:tc>
        <w:tc>
          <w:tcPr/>
          <w:p>
            <w:pPr>
              <w:pStyle w:val="Compact"/>
              <w:jc w:val="right"/>
            </w:pPr>
            <w:r>
              <w:t xml:space="preserve">Ingressi</w:t>
            </w:r>
          </w:p>
        </w:tc>
        <w:tc>
          <w:tcPr/>
          <w:p>
            <w:pPr>
              <w:pStyle w:val="Compact"/>
              <w:jc w:val="right"/>
            </w:pPr>
            <w:r>
              <w:t xml:space="preserve">Uscite</w:t>
            </w:r>
          </w:p>
        </w:tc>
        <w:tc>
          <w:tcPr/>
          <w:p>
            <w:pPr>
              <w:pStyle w:val="Compact"/>
              <w:jc w:val="right"/>
            </w:pPr>
            <w:r>
              <w:t xml:space="preserve">Saldo</w:t>
            </w:r>
          </w:p>
        </w:tc>
        <w:tc>
          <w:tcPr/>
          <w:p>
            <w:pPr>
              <w:pStyle w:val="Compact"/>
              <w:jc w:val="right"/>
            </w:pPr>
            <w:r>
              <w:t xml:space="preserve">Donne</w:t>
            </w:r>
          </w:p>
        </w:tc>
        <w:tc>
          <w:tcPr/>
          <w:p>
            <w:pPr>
              <w:pStyle w:val="Compact"/>
              <w:jc w:val="right"/>
            </w:pPr>
            <w:r>
              <w:t xml:space="preserve">Minorenni</w:t>
            </w:r>
          </w:p>
        </w:tc>
        <w:tc>
          <w:tcPr/>
          <w:p>
            <w:pPr>
              <w:pStyle w:val="Compact"/>
              <w:jc w:val="right"/>
            </w:pPr>
            <w:r>
              <w:t xml:space="preserve">Età media</w:t>
            </w:r>
          </w:p>
        </w:tc>
      </w:tr>
      <w:tr>
        <w:tc>
          <w:tcPr/>
          <w:p>
            <w:pPr>
              <w:pStyle w:val="Compact"/>
              <w:jc w:val="left"/>
            </w:pPr>
            <w:r>
              <w:t xml:space="preserve">2025</w:t>
            </w:r>
          </w:p>
        </w:tc>
        <w:tc>
          <w:tcPr/>
          <w:p>
            <w:pPr>
              <w:pStyle w:val="Compact"/>
              <w:jc w:val="right"/>
            </w:pPr>
            <w:r>
              <w:t xml:space="preserve">21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w:t>
            </w:r>
          </w:p>
        </w:tc>
        <w:tc>
          <w:tcPr/>
          <w:p>
            <w:pPr>
              <w:pStyle w:val="Compact"/>
              <w:jc w:val="right"/>
            </w:pPr>
            <w:r>
              <w:t xml:space="preserve">3</w:t>
            </w:r>
          </w:p>
        </w:tc>
        <w:tc>
          <w:tcPr/>
          <w:p>
            <w:pPr>
              <w:pStyle w:val="Compact"/>
              <w:jc w:val="right"/>
            </w:pPr>
            <w:r>
              <w:t xml:space="preserve">43,1</w:t>
            </w:r>
          </w:p>
        </w:tc>
      </w:tr>
    </w:tbl>
    <w:p>
      <w:pPr>
        <w:pStyle w:val="BodyText"/>
      </w:pPr>
      <w:r>
        <w:t xml:space="preserve">Nel 2025 gli ingressi sono 5, di cui 4 al primo tesseramento in assoluto con la società; le uscite sono 4.</w:t>
      </w:r>
    </w:p>
    <w:p>
      <w:pPr>
        <w:pStyle w:val="BodyText"/>
      </w:pPr>
      <w:r>
        <w:rPr>
          <w:bCs/>
          <w:b/>
        </w:rPr>
        <w:t xml:space="preserve">[DA COMPLETARE — peso in regione]</w:t>
      </w:r>
      <w:r>
        <w:t xml:space="preserve"> </w:t>
      </w:r>
      <w:r>
        <w:t xml:space="preserve">Quota dei tesserati della società sul totale degli arcieri tesserati in Molise, secondo i dati federali. Il numero non è nell’archivio delle classifiche e va preso dalla federazione o dal comitato regionale.</w:t>
      </w:r>
    </w:p>
    <w:p>
      <w:pPr>
        <w:pStyle w:val="BodyText"/>
      </w:pPr>
      <w:r>
        <w:rPr>
          <w:bCs/>
          <w:b/>
        </w:rPr>
        <w:t xml:space="preserve">Composizione per classe d’età.</w:t>
      </w:r>
      <w:r>
        <w:t xml:space="preserve"> </w:t>
      </w:r>
      <w:r>
        <w:t xml:space="preserve">Le classi seguono la classificazione federale, calcolata sull’età compiuta nell’anno solare.</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Pulcini</w:t>
            </w:r>
          </w:p>
        </w:tc>
        <w:tc>
          <w:tcPr/>
          <w:p>
            <w:pPr>
              <w:pStyle w:val="Compact"/>
              <w:jc w:val="right"/>
            </w:pPr>
            <w:r>
              <w:t xml:space="preserve">Giovanissimi</w:t>
            </w:r>
          </w:p>
        </w:tc>
        <w:tc>
          <w:tcPr/>
          <w:p>
            <w:pPr>
              <w:pStyle w:val="Compact"/>
              <w:jc w:val="right"/>
            </w:pPr>
            <w:r>
              <w:t xml:space="preserve">Ragazzi</w:t>
            </w:r>
          </w:p>
        </w:tc>
        <w:tc>
          <w:tcPr/>
          <w:p>
            <w:pPr>
              <w:pStyle w:val="Compact"/>
              <w:jc w:val="right"/>
            </w:pPr>
            <w:r>
              <w:t xml:space="preserve">Allievi</w:t>
            </w:r>
          </w:p>
        </w:tc>
        <w:tc>
          <w:tcPr/>
          <w:p>
            <w:pPr>
              <w:pStyle w:val="Compact"/>
              <w:jc w:val="right"/>
            </w:pPr>
            <w:r>
              <w:t xml:space="preserve">Juniores</w:t>
            </w:r>
          </w:p>
        </w:tc>
        <w:tc>
          <w:tcPr/>
          <w:p>
            <w:pPr>
              <w:pStyle w:val="Compact"/>
              <w:jc w:val="right"/>
            </w:pPr>
            <w:r>
              <w:t xml:space="preserve">Seniores</w:t>
            </w:r>
          </w:p>
        </w:tc>
        <w:tc>
          <w:tcPr/>
          <w:p>
            <w:pPr>
              <w:pStyle w:val="Compact"/>
              <w:jc w:val="right"/>
            </w:pPr>
            <w:r>
              <w:t xml:space="preserve">Master</w:t>
            </w:r>
          </w:p>
        </w:tc>
      </w:tr>
      <w:tr>
        <w:tc>
          <w:tcPr/>
          <w:p>
            <w:pPr>
              <w:pStyle w:val="Compact"/>
              <w:jc w:val="left"/>
            </w:pPr>
            <w:r>
              <w:t xml:space="preserve">2025</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r>
    </w:tbl>
    <w:p>
      <w:pPr>
        <w:pStyle w:val="BodyText"/>
      </w:pPr>
      <w:r>
        <w:rPr>
          <w:bCs/>
          <w:b/>
        </w:rPr>
        <w:t xml:space="preserve">[DA COMPLETARE — organizzazione]</w:t>
      </w:r>
      <w:r>
        <w:t xml:space="preserve"> </w:t>
      </w:r>
      <w:r>
        <w:t xml:space="preserve">Consiglio direttivo, tecnici federali qualificati in organico, giudici di gara tesserati, volontari impegnati nell’organizzazione di una gara tipo.</w:t>
      </w:r>
    </w:p>
    <w:bookmarkEnd w:id="27"/>
    <w:bookmarkStart w:id="28" w:name="la-visibilità-sui-media"/>
    <w:p>
      <w:pPr>
        <w:pStyle w:val="Heading2"/>
      </w:pPr>
      <w:r>
        <w:t xml:space="preserve">5. La visibilità sui media</w:t>
      </w:r>
    </w:p>
    <w:p>
      <w:pPr>
        <w:pStyle w:val="FirstParagraph"/>
      </w:pPr>
      <w:r>
        <w:t xml:space="preserve">L’archivio non conosce questi numeri: li tiene la società, e sono quelli che un bando comunale o regionale chiede per misurare la ricaduta di comunicazione.</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Canale</w:t>
            </w:r>
          </w:p>
        </w:tc>
        <w:tc>
          <w:tcPr/>
          <w:p>
            <w:pPr>
              <w:pStyle w:val="Compact"/>
              <w:jc w:val="right"/>
            </w:pPr>
            <w:r>
              <w:t xml:space="preserve">2025</w:t>
            </w:r>
          </w:p>
        </w:tc>
      </w:tr>
      <w:tr>
        <w:tc>
          <w:tcPr/>
          <w:p>
            <w:pPr>
              <w:pStyle w:val="Compact"/>
              <w:jc w:val="left"/>
            </w:pPr>
            <w:r>
              <w:t xml:space="preserve">Uscite sui media (stampa locale, radio, TV, testate online)</w:t>
            </w:r>
          </w:p>
        </w:tc>
        <w:tc>
          <w:tcPr/>
          <w:p>
            <w:pPr>
              <w:pStyle w:val="Compact"/>
              <w:jc w:val="right"/>
            </w:pPr>
            <w:r>
              <w:rPr>
                <w:bCs/>
                <w:b/>
              </w:rPr>
              <w:t xml:space="preserve">[DA COMPLETARE]</w:t>
            </w:r>
          </w:p>
        </w:tc>
      </w:tr>
      <w:tr>
        <w:tc>
          <w:tcPr/>
          <w:p>
            <w:pPr>
              <w:pStyle w:val="Compact"/>
              <w:jc w:val="left"/>
            </w:pPr>
            <w:r>
              <w:t xml:space="preserve">Post sui canali social della società</w:t>
            </w:r>
          </w:p>
        </w:tc>
        <w:tc>
          <w:tcPr/>
          <w:p>
            <w:pPr>
              <w:pStyle w:val="Compact"/>
              <w:jc w:val="right"/>
            </w:pPr>
            <w:r>
              <w:rPr>
                <w:bCs/>
                <w:b/>
              </w:rPr>
              <w:t xml:space="preserve">[DA COMPLETARE]</w:t>
            </w:r>
          </w:p>
        </w:tc>
      </w:tr>
      <w:tr>
        <w:tc>
          <w:tcPr/>
          <w:p>
            <w:pPr>
              <w:pStyle w:val="Compact"/>
              <w:jc w:val="left"/>
            </w:pPr>
            <w:r>
              <w:t xml:space="preserve">Comunicati stampa diffusi</w:t>
            </w:r>
          </w:p>
        </w:tc>
        <w:tc>
          <w:tcPr/>
          <w:p>
            <w:pPr>
              <w:pStyle w:val="Compact"/>
              <w:jc w:val="right"/>
            </w:pPr>
            <w:r>
              <w:rPr>
                <w:bCs/>
                <w:b/>
              </w:rPr>
              <w:t xml:space="preserve">[DA COMPLETARE]</w:t>
            </w:r>
          </w:p>
        </w:tc>
      </w:tr>
    </w:tbl>
    <w:p>
      <w:pPr>
        <w:pStyle w:val="BodyText"/>
      </w:pPr>
      <w:r>
        <w:rPr>
          <w:bCs/>
          <w:b/>
        </w:rPr>
        <w:t xml:space="preserve">[DA COMPLETARE — riscontri principali]</w:t>
      </w:r>
      <w:r>
        <w:t xml:space="preserve"> </w:t>
      </w:r>
      <w:r>
        <w:t xml:space="preserve">Testata, data e titolo dei due o tre pezzi che vale la pena citare.</w:t>
      </w:r>
    </w:p>
    <w:bookmarkEnd w:id="28"/>
    <w:bookmarkStart w:id="29" w:name="le-donne-nel-tiro-con-larco"/>
    <w:p>
      <w:pPr>
        <w:pStyle w:val="Heading2"/>
      </w:pPr>
      <w:r>
        <w:t xml:space="preserve">6. Le donne nel tiro con l’arco</w:t>
      </w:r>
    </w:p>
    <w:p>
      <w:pPr>
        <w:pStyle w:val="FirstParagraph"/>
      </w:pPr>
      <w:r>
        <w:t xml:space="preserve">Il tiro con l’arco è una delle discipline olimpiche in cui la parità di accesso è strutturale: stesse distanze, stessi bersagli, stesse regole. Non esistono categorie protette né adattamenti tecnici legati al sesso dell’atleta.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Indicatore</w:t>
            </w:r>
          </w:p>
        </w:tc>
        <w:tc>
          <w:tcPr/>
          <w:p>
            <w:pPr>
              <w:pStyle w:val="Compact"/>
              <w:jc w:val="right"/>
            </w:pPr>
            <w:r>
              <w:t xml:space="preserve">Atlete</w:t>
            </w:r>
          </w:p>
        </w:tc>
        <w:tc>
          <w:tcPr/>
          <w:p>
            <w:pPr>
              <w:pStyle w:val="Compact"/>
              <w:jc w:val="right"/>
            </w:pPr>
            <w:r>
              <w:t xml:space="preserve">Totale società</w:t>
            </w:r>
          </w:p>
        </w:tc>
        <w:tc>
          <w:tcPr/>
          <w:p>
            <w:pPr>
              <w:pStyle w:val="Compact"/>
              <w:jc w:val="right"/>
            </w:pPr>
            <w:r>
              <w:t xml:space="preserve">Quota femminile</w:t>
            </w:r>
          </w:p>
        </w:tc>
      </w:tr>
      <w:tr>
        <w:tc>
          <w:tcPr/>
          <w:p>
            <w:pPr>
              <w:pStyle w:val="Compact"/>
              <w:jc w:val="left"/>
            </w:pPr>
            <w:r>
              <w:t xml:space="preserve">Atleti che hanno gareggiato</w:t>
            </w:r>
          </w:p>
        </w:tc>
        <w:tc>
          <w:tcPr/>
          <w:p>
            <w:pPr>
              <w:pStyle w:val="Compact"/>
              <w:jc w:val="right"/>
            </w:pPr>
            <w:r>
              <w:t xml:space="preserve">4</w:t>
            </w:r>
          </w:p>
        </w:tc>
        <w:tc>
          <w:tcPr/>
          <w:p>
            <w:pPr>
              <w:pStyle w:val="Compact"/>
              <w:jc w:val="right"/>
            </w:pPr>
            <w:r>
              <w:t xml:space="preserve">17</w:t>
            </w:r>
          </w:p>
        </w:tc>
        <w:tc>
          <w:tcPr/>
          <w:p>
            <w:pPr>
              <w:pStyle w:val="Compact"/>
              <w:jc w:val="right"/>
            </w:pPr>
            <w:r>
              <w:t xml:space="preserve">23,5%</w:t>
            </w:r>
          </w:p>
        </w:tc>
      </w:tr>
      <w:tr>
        <w:tc>
          <w:tcPr/>
          <w:p>
            <w:pPr>
              <w:pStyle w:val="Compact"/>
              <w:jc w:val="left"/>
            </w:pPr>
            <w:r>
              <w:t xml:space="preserve">Presenze individuali</w:t>
            </w:r>
          </w:p>
        </w:tc>
        <w:tc>
          <w:tcPr/>
          <w:p>
            <w:pPr>
              <w:pStyle w:val="Compact"/>
              <w:jc w:val="right"/>
            </w:pPr>
            <w:r>
              <w:t xml:space="preserve">8</w:t>
            </w:r>
          </w:p>
        </w:tc>
        <w:tc>
          <w:tcPr/>
          <w:p>
            <w:pPr>
              <w:pStyle w:val="Compact"/>
              <w:jc w:val="right"/>
            </w:pPr>
            <w:r>
              <w:t xml:space="preserve">122</w:t>
            </w:r>
          </w:p>
        </w:tc>
        <w:tc>
          <w:tcPr/>
          <w:p>
            <w:pPr>
              <w:pStyle w:val="Compact"/>
              <w:jc w:val="right"/>
            </w:pPr>
            <w:r>
              <w:t xml:space="preserve">6,6%</w:t>
            </w:r>
          </w:p>
        </w:tc>
      </w:tr>
      <w:tr>
        <w:tc>
          <w:tcPr/>
          <w:p>
            <w:pPr>
              <w:pStyle w:val="Compact"/>
              <w:jc w:val="left"/>
            </w:pPr>
            <w:r>
              <w:t xml:space="preserve">Medaglie individuali</w:t>
            </w:r>
          </w:p>
        </w:tc>
        <w:tc>
          <w:tcPr/>
          <w:p>
            <w:pPr>
              <w:pStyle w:val="Compact"/>
              <w:jc w:val="right"/>
            </w:pPr>
            <w:r>
              <w:t xml:space="preserve">5</w:t>
            </w:r>
          </w:p>
        </w:tc>
        <w:tc>
          <w:tcPr/>
          <w:p>
            <w:pPr>
              <w:pStyle w:val="Compact"/>
              <w:jc w:val="right"/>
            </w:pPr>
            <w:r>
              <w:t xml:space="preserve">71</w:t>
            </w:r>
          </w:p>
        </w:tc>
        <w:tc>
          <w:tcPr/>
          <w:p>
            <w:pPr>
              <w:pStyle w:val="Compact"/>
              <w:jc w:val="right"/>
            </w:pPr>
            <w:r>
              <w:t xml:space="preserve">7%</w:t>
            </w:r>
          </w:p>
        </w:tc>
      </w:tr>
      <w:tr>
        <w:tc>
          <w:tcPr/>
          <w:p>
            <w:pPr>
              <w:pStyle w:val="Compact"/>
              <w:jc w:val="left"/>
            </w:pPr>
            <w:r>
              <w:t xml:space="preserve">di cui primi posti</w:t>
            </w:r>
          </w:p>
        </w:tc>
        <w:tc>
          <w:tcPr/>
          <w:p>
            <w:pPr>
              <w:pStyle w:val="Compact"/>
              <w:jc w:val="right"/>
            </w:pPr>
            <w:r>
              <w:t xml:space="preserve">4</w:t>
            </w:r>
          </w:p>
        </w:tc>
        <w:tc>
          <w:tcPr/>
          <w:p>
            <w:pPr>
              <w:pStyle w:val="Compact"/>
              <w:jc w:val="right"/>
            </w:pPr>
            <w:r>
              <w:t xml:space="preserve">27</w:t>
            </w:r>
          </w:p>
        </w:tc>
        <w:tc>
          <w:tcPr/>
          <w:p>
            <w:pPr>
              <w:pStyle w:val="Compact"/>
              <w:jc w:val="right"/>
            </w:pPr>
            <w:r>
              <w:t xml:space="preserve">14,8%</w:t>
            </w:r>
          </w:p>
        </w:tc>
      </w:tr>
      <w:tr>
        <w:tc>
          <w:tcPr/>
          <w:p>
            <w:pPr>
              <w:pStyle w:val="Compact"/>
              <w:jc w:val="left"/>
            </w:pPr>
            <w:r>
              <w:t xml:space="preserve">Presenze chiuse a podio</w:t>
            </w:r>
          </w:p>
        </w:tc>
        <w:tc>
          <w:tcPr/>
          <w:p>
            <w:pPr>
              <w:pStyle w:val="Compact"/>
              <w:jc w:val="right"/>
            </w:pPr>
            <w:r>
              <w:t xml:space="preserve">62,5%</w:t>
            </w:r>
          </w:p>
        </w:tc>
        <w:tc>
          <w:tcPr/>
          <w:p>
            <w:pPr>
              <w:pStyle w:val="Compact"/>
              <w:jc w:val="right"/>
            </w:pPr>
            <w:r>
              <w:t xml:space="preserve">58,2%</w:t>
            </w:r>
          </w:p>
        </w:tc>
        <w:tc>
          <w:tcPr/>
          <w:p>
            <w:pPr>
              <w:pStyle w:val="Compact"/>
              <w:jc w:val="right"/>
            </w:pPr>
            <w:r>
              <w:t xml:space="preserve">—</w:t>
            </w:r>
          </w:p>
        </w:tc>
      </w:tr>
    </w:tbl>
    <w:p>
      <w:pPr>
        <w:pStyle w:val="BodyText"/>
      </w:pPr>
      <w:r>
        <w:t xml:space="preserve">Il rapporto fra le due colonne descrive la situazione con precisione: le atlete sono il 23,5% delle persone portate in gara e producono il 6,6% delle presenze. Gareggiano, e gareggiano meno spesso. Quando scendono in campo chiudono a podio il 62,5% delle presenze contro il 58,2% della media sociale.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Componente</w:t>
            </w:r>
          </w:p>
        </w:tc>
        <w:tc>
          <w:tcPr/>
          <w:p>
            <w:pPr>
              <w:pStyle w:val="Compact"/>
              <w:jc w:val="right"/>
            </w:pPr>
            <w:r>
              <w:t xml:space="preserve">Presenze</w:t>
            </w:r>
          </w:p>
        </w:tc>
        <w:tc>
          <w:tcPr/>
          <w:p>
            <w:pPr>
              <w:pStyle w:val="Compact"/>
              <w:jc w:val="right"/>
            </w:pPr>
            <w:r>
              <w:t xml:space="preserve">Atlete</w:t>
            </w:r>
          </w:p>
        </w:tc>
        <w:tc>
          <w:tcPr/>
          <w:p>
            <w:pPr>
              <w:pStyle w:val="Compact"/>
              <w:jc w:val="right"/>
            </w:pPr>
            <w:r>
              <w:t xml:space="preserve">Ori</w:t>
            </w:r>
          </w:p>
        </w:tc>
        <w:tc>
          <w:tcPr/>
          <w:p>
            <w:pPr>
              <w:pStyle w:val="Compact"/>
              <w:jc w:val="right"/>
            </w:pPr>
            <w:r>
              <w:t xml:space="preserve">Podi</w:t>
            </w:r>
          </w:p>
        </w:tc>
      </w:tr>
      <w:tr>
        <w:tc>
          <w:tcPr/>
          <w:p>
            <w:pPr>
              <w:pStyle w:val="Compact"/>
              <w:jc w:val="left"/>
            </w:pPr>
            <w:r>
              <w:t xml:space="preserve">Categorie under 21</w:t>
            </w:r>
          </w:p>
        </w:tc>
        <w:tc>
          <w:tcPr/>
          <w:p>
            <w:pPr>
              <w:pStyle w:val="Compact"/>
              <w:jc w:val="right"/>
            </w:pPr>
            <w:r>
              <w:t xml:space="preserve">5</w:t>
            </w:r>
          </w:p>
        </w:tc>
        <w:tc>
          <w:tcPr/>
          <w:p>
            <w:pPr>
              <w:pStyle w:val="Compact"/>
              <w:jc w:val="right"/>
            </w:pPr>
            <w:r>
              <w:t xml:space="preserve">1</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Categorie assolute</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Totale</w:t>
            </w:r>
          </w:p>
        </w:tc>
        <w:tc>
          <w:tcPr/>
          <w:p>
            <w:pPr>
              <w:pStyle w:val="Compact"/>
              <w:jc w:val="right"/>
            </w:pPr>
            <w:r>
              <w:rPr>
                <w:bCs/>
                <w:b/>
              </w:rPr>
              <w:t xml:space="preserve">8</w:t>
            </w:r>
          </w:p>
        </w:tc>
        <w:tc>
          <w:tcPr/>
          <w:p>
            <w:pPr>
              <w:pStyle w:val="Compact"/>
              <w:jc w:val="right"/>
            </w:pPr>
            <w:r>
              <w:rPr>
                <w:bCs/>
                <w:b/>
              </w:rPr>
              <w:t xml:space="preserve">4</w:t>
            </w:r>
          </w:p>
        </w:tc>
        <w:tc>
          <w:tcPr/>
          <w:p>
            <w:pPr>
              <w:pStyle w:val="Compact"/>
              <w:jc w:val="right"/>
            </w:pPr>
            <w:r>
              <w:rPr>
                <w:bCs/>
                <w:b/>
              </w:rPr>
              <w:t xml:space="preserve">4</w:t>
            </w:r>
          </w:p>
        </w:tc>
        <w:tc>
          <w:tcPr/>
          <w:p>
            <w:pPr>
              <w:pStyle w:val="Compact"/>
              <w:jc w:val="right"/>
            </w:pPr>
            <w:r>
              <w:rPr>
                <w:bCs/>
                <w:b/>
              </w:rPr>
              <w:t xml:space="preserve">5</w:t>
            </w:r>
          </w:p>
        </w:tc>
      </w:tr>
    </w:tbl>
    <w:p>
      <w:pPr>
        <w:pStyle w:val="BodyText"/>
      </w:pPr>
      <w:r>
        <w:t xml:space="preserve">La somma della colonna «Atlete» può superare il totale: un’atleta che nel periodo passa dalle categorie giovanili a quelle assolute compare in entrambe le righe.</w:t>
      </w:r>
    </w:p>
    <w:p>
      <w:pPr>
        <w:pStyle w:val="BodyText"/>
      </w:pPr>
      <w:r>
        <w:t xml:space="preserve">Le divisioni frequentate sono 2: arco olimpico con 6 presenze, arco nudo con 2 presenze. Nessuna atleta ha finora gareggiato né in arco compound né in longbow.</w:t>
      </w:r>
    </w:p>
    <w:p>
      <w:pPr>
        <w:pStyle w:val="BodyText"/>
      </w:pPr>
      <w:r>
        <w:t xml:space="preserve">Nelle prove a squadre la componente femminile è necessaria per una specialità precisa. La squadra mista è composta da un uomo e una donna: ogni singolo risultato di squadra mista dipende dalla disponibilità di un’atleta in gara quel giorno. L’archivio non ne riconosce nessuno nel periodo, e l’assenza non è un dato: le classifiche a squadre miste non riportano la categoria in forma leggibile dal lettore automatico, e il conto va preso dall’esportazione XML federale.</w:t>
      </w:r>
    </w:p>
    <w:p>
      <w:pPr>
        <w:pStyle w:val="BodyText"/>
      </w:pPr>
      <w:r>
        <w:t xml:space="preserve">Tre vincoli spiegano il divario fra il numero di tesserate e il numero di presenze: il costo dell’attrezzatura personale, che per una principiante si somma alla quota sociale; la distanza delle gare, che nel Centro-Sud richiede quasi sempre una trasferta con pernottamento; e l’assenza di una squadra femminile completa, che richiede tre atlete della stessa divisione e categoria e priva le altre della prova a squadre.</w:t>
      </w:r>
    </w:p>
    <w:p>
      <w:pPr>
        <w:pStyle w:val="BodyText"/>
      </w:pPr>
      <w:r>
        <w:rPr>
          <w:bCs/>
          <w:b/>
        </w:rPr>
        <w:t xml:space="preserve">[DA COMPLETARE — iniziative]</w:t>
      </w:r>
      <w:r>
        <w:t xml:space="preserve"> </w:t>
      </w:r>
      <w:r>
        <w:t xml:space="preserve">Corsi dedicati, attrezzatura sociale in comodato, agevolazioni sulla quota, forme di accompagnamento nelle trasferte.</w:t>
      </w:r>
    </w:p>
    <w:bookmarkEnd w:id="29"/>
    <w:bookmarkStart w:id="30" w:name="nota"/>
    <w:p>
      <w:pPr>
        <w:pStyle w:val="Heading2"/>
      </w:pPr>
      <w:r>
        <w:t xml:space="preserve">Nota</w:t>
      </w:r>
    </w:p>
    <w:p>
      <w:pPr>
        <w:pStyle w:val="FirstParagraph"/>
      </w:pPr>
      <w:r>
        <w:t xml:space="preserve">Numeri estratti dalle classifiche ufficiali FITARCO il 9 agosto 2026, integrate dall’esportazione XML federale per le convocazioni in rappresentativa. La posizione è quella assegnata dentro la classe, cioè divisione e categoria d’età insieme; dove la gara prevede la fase a eliminazione diretta vale la posizione finale dopo il tabellone. Le regioni sono ricavate dalla provincia della sede di gara, che 0 gare su 40 non riportano: 8 è un minimo accertato e non un totale. Le voci marcate [DA COMPLETARE] sono quelle che l’archivio delle classifiche non può conoscere: le compila la società.</w:t>
      </w:r>
    </w:p>
    <w:bookmarkEnd w:id="30"/>
    <w:bookmarkEnd w:id="31"/>
    <w:sectPr/>
    <w:pgSz w:w="11906" w:h="16838"/>
    <w:pgMar w:top="1134" w:right="1134" w:bottom="1134" w:left="1134" w:header="709" w:footer="709"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2026-08-09T13:49:50Z</dcterms:created>
  <dcterms:modified xsi:type="dcterms:W3CDTF">2026-08-09T13:49:50Z</dcterms:modified>
</cp:coreProperties>
</file>

<file path=docProps/custom.xml><?xml version="1.0" encoding="utf-8"?>
<Properties xmlns="http://schemas.openxmlformats.org/officeDocument/2006/custom-properties" xmlns:vt="http://schemas.openxmlformats.org/officeDocument/2006/docPropsVTypes"/>
</file>