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AVRE Capital Group</w:t>
      </w:r>
    </w:p>
    <w:p>
      <w:pPr>
        <w:spacing w:after="60"/>
      </w:pPr>
      <w:r>
        <w:rPr>
          <w:b/>
          <w:bCs/>
          <w:color w:val="2E5395"/>
          <w:sz w:val="30"/>
          <w:szCs w:val="30"/>
        </w:rPr>
        <w:t xml:space="preserve">Requerimientos — Etapa 2: servicios de Admin, Asesor y Cliente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Documento de trabajo para revisión — 30 de julio de 2026</w:t>
      </w:r>
    </w:p>
    <w:p>
      <w:pPr>
        <w:pStyle w:val="Heading1"/>
        <w:spacing w:after="150" w:before="300"/>
      </w:pPr>
      <w:r>
        <w:t xml:space="preserve">1. Objetivo y alcance</w:t>
      </w:r>
    </w:p>
    <w:p>
      <w:pPr>
        <w:spacing w:after="120"/>
      </w:pPr>
      <w:r>
        <w:t xml:space="preserve">Esta etapa agrega, sobre el core ya construido en Fase 0-2 (autenticación, tenants, onboarding y paneles básicos de gestión de usuarios), los servicios de negocio propios de cada rol: cartera de inversiones, dashboard de mercado, fondeo de cuenta vía QR/wallet cripto con verificación on-chain, y el flujo de revisión de esas operaciones por parte de asesor y admin.</w:t>
      </w:r>
    </w:p>
    <w:p>
      <w:pPr>
        <w:spacing w:after="120"/>
      </w:pPr>
      <w:r>
        <w:t xml:space="preserve">Se documenta acá el alcance acordado en conversación para que se revise y confirme antes de continuar el desarrollo. Al final se detalla qué parte ya quedó escrita en código durante la sesión de trabajo.</w:t>
      </w:r>
    </w:p>
    <w:p>
      <w:pPr>
        <w:pStyle w:val="Heading1"/>
        <w:spacing w:after="150" w:before="300"/>
      </w:pPr>
      <w:r>
        <w:t xml:space="preserve">2. Perfil de usuario — campos por rol</w:t>
      </w:r>
    </w:p>
    <w:p>
      <w:pPr>
        <w:spacing w:after="120"/>
      </w:pPr>
      <w:r>
        <w:t xml:space="preserve">Se amplía el perfil de usuario (hoy solo nombre, email, rol y estado de cuenta) con los siguientes campos: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900"/>
        <w:gridCol w:w="18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Asesor</w:t>
            </w:r>
          </w:p>
        </w:tc>
        <w:tc>
          <w:tcPr>
            <w:tcW w:type="dxa" w:w="2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País (info personal)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Dirección de wallet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(usa la wallet de depósito de la plataforma)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contrato (acciones / divisas / mixto)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 — qué gestiona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 — qué contrató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Paquete comercial (plan)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aplica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 (Basic / Growth / Premium — placeholder a confirmar)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Visible de todos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 de perfil (thumbnail chico)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Los niveles de paquete comercial (Basic/Growth/Premium) son un placeholder — falta que el área comercial confirme nombres y condiciones reales, igual que el texto del Acuerdo de Gestión Discrecional ya marcado como pendiente de revisión legal en la Fase 0-2.</w:t>
      </w:r>
    </w:p>
    <w:p>
      <w:pPr>
        <w:pStyle w:val="Heading1"/>
        <w:spacing w:after="150" w:before="300"/>
      </w:pPr>
      <w:r>
        <w:t xml:space="preserve">3. Servicios por rol</w:t>
      </w:r>
    </w:p>
    <w:p>
      <w:pPr>
        <w:pStyle w:val="Heading2"/>
        <w:spacing w:after="120" w:before="250"/>
      </w:pPr>
      <w:r>
        <w:t xml:space="preserve">3.1 Cliente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de mercado: catálogo de acciones/divisas con cotización en vivo.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Cartera: qué acciones compró, cantidad, costo promedio.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Porcentaje de rendimiento a la fecha, por posición y total de cartera (cotización actual vs. costo promedio).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Saldo disponible a retirar (cash no invertido).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Compra de instrumentos contra el saldo disponible (orden de mercado simple).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Fondeo de cuenta vía QR / dirección de wallet cripto (USDT en TRON o USDC en Polygon), pegando el hash de la transacción para iniciar la verificación.</w:t>
      </w:r>
    </w:p>
    <w:p>
      <w:pPr>
        <w:pStyle w:val="Heading2"/>
        <w:spacing w:after="120" w:before="250"/>
      </w:pPr>
      <w:r>
        <w:t xml:space="preserve">3.2 Asesor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Cartera de sus clientes asignados (ya existe la lista básica; se agrega el detalle de cartera de cada uno: paquete, acciones compradas, % de rendimiento, saldo retirable).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Cola de verificación: depósitos de sus clientes que ya pasaron la validación on-chain automática y esperan aprobación o rechazo humano.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Ver/editar su propio perfil (país, wallet, tipo de contrato — acciones o divisas).</w:t>
      </w:r>
    </w:p>
    <w:p>
      <w:pPr>
        <w:pStyle w:val="Heading2"/>
        <w:spacing w:after="120" w:before="250"/>
      </w:pPr>
      <w:r>
        <w:t xml:space="preserve">3.3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lo del asesor, pero sin scoping — ve todos los clientes y todos los asesores del tenant.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Cola de verificación de depósitos de todo el tenant (no solo de un asesor).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Alta y baja de instrumentos en el catálogo de mercado.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Edición de perfil de cualquier usuario (país, wallet, tipo de contrato, paquete).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agregada — "más color": totales y desgloses por asesor, no solo el detalle 1 a 1.</w:t>
      </w:r>
    </w:p>
    <w:p>
      <w:pPr>
        <w:pStyle w:val="Heading1"/>
        <w:spacing w:after="150" w:before="300"/>
      </w:pPr>
      <w:r>
        <w:t xml:space="preserve">4. Flujo de fondeo (compra vía QR / wallet) y verificación</w:t>
      </w:r>
    </w:p>
    <w:p>
      <w:pPr>
        <w:spacing w:after="120"/>
      </w:pPr>
      <w:r>
        <w:t xml:space="preserve">Se definió como cripto real on-chain (no simulado), con doble verificación automática antes de que llegue a manos de un humano: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El cliente elige red (TRON/USDT o Polygon/USDC) y monto declarado; el sistema genera un QR con la dirección de depósito de la plataforma para esa 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El cliente transfiere desde su wallet y pega el hash de la transacción.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Verificación automática: para TRON se consulta TronGrid y TronScan (ambas deben coincidir en monto, destino y éxito de la transacción); para Polygon se consulta Polygonscan.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Si la verificación automática es consistente, el depósito pasa a la cola de revisión del asesor (o admin)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Asesor o admin aprueba (se acredita el monto verificado on-chain al saldo disponible del cliente) o rechaza con motivo.</w:t>
      </w:r>
    </w:p>
    <w:p>
      <w:pPr>
        <w:spacing w:after="120"/>
      </w:pPr>
      <w:r>
        <w:rPr>
          <w:i/>
          <w:iCs/>
          <w:color w:val="555555"/>
        </w:rPr>
        <w:t xml:space="preserve">La verificación automática es una precondición, no reemplaza la revisión humana final — el asesor/admin es quien efectivamente acredita el saldo.</w:t>
      </w:r>
    </w:p>
    <w:p>
      <w:pPr>
        <w:pStyle w:val="Heading1"/>
        <w:spacing w:after="150" w:before="300"/>
      </w:pPr>
      <w:r>
        <w:t xml:space="preserve">5. Integraciones técnicas externas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250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Proveedor elegido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Límite plan gratuito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de mercado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Finnhub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Cotizaciones de acciones/divisas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req/min; uso comercial requiere plan pago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Verificación TRON/USDT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TronGrid + TronScan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Confirmar depósitos TRC20 (doble fuente)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Requiere API key; tiers gratuitos con límite de requests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Verificación Polygon/USDC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Polygonscan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Confirmar depósitos ERC20 en Polygon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 gratuita con límite de requests/seg</w:t>
            </w:r>
          </w:p>
        </w:tc>
      </w:tr>
    </w:tbl>
    <w:p>
      <w:pPr>
        <w:pStyle w:val="Heading1"/>
        <w:spacing w:after="150" w:before="300"/>
      </w:pPr>
      <w:r>
        <w:t xml:space="preserve">6. Hosting y despliegue</w:t>
      </w:r>
    </w:p>
    <w:p>
      <w:pPr>
        <w:spacing w:after="120"/>
      </w:pPr>
      <w:r>
        <w:t xml:space="preserve">Landing ya desplegada en Cloudflare. Para backend + base de datos, dado que se pidió una opción gratuita mientras se escala: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30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Proveedor</w:t>
            </w:r>
          </w:p>
        </w:tc>
        <w:tc>
          <w:tcPr>
            <w:tcW w:type="dxa" w:w="33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 en uso para la landing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(NestJS, Docker)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(free web service)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Gratis, pero con cold start de 30-60s tras 15 min sin tráfico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 Postgres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 real, sin cold start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(cache/colas)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Upstash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tier, límite de comandos/día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Railway y Fly.io ya no ofrecen free tier real en 2026 — se descartaron por esa razón. Cuando el tráfico lo justifique, migrar el backend a un plan pago (Render Starter o similar) elimina el cold start.</w:t>
      </w:r>
    </w:p>
    <w:p>
      <w:pPr>
        <w:pStyle w:val="Heading1"/>
        <w:spacing w:after="150" w:before="300"/>
      </w:pPr>
      <w:r>
        <w:t xml:space="preserve">7. Estado de avance del código (durante esta sesión)</w:t>
      </w:r>
    </w:p>
    <w:p>
      <w:pPr>
        <w:spacing w:after="120"/>
      </w:pPr>
      <w:r>
        <w:t xml:space="preserve">Antes de pausar para este documento, ya se empezó a escribir código sobre el repo existente. Detalle de qué quedó hecho y qué falta:</w:t>
      </w:r>
    </w:p>
    <w:p>
      <w:pPr>
        <w:pStyle w:val="Heading2"/>
        <w:spacing w:after="120" w:before="250"/>
      </w:pPr>
      <w:r>
        <w:t xml:space="preserve">Hecho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Prisma: nuevos modelos Instrument, Holding, Order, Deposit + enums ContractType, ClientPackage, ChainNetwork, DepositStatus; campos nuevos en User (country, walletAddress, contractType, clientPackage, avatarUrl, cashBalanceUsd).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Políticas RLS agregadas para las tablas nuevas (SQL manual, mismo patrón que el resto).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Módulo de mercado: catálogo de instrumentos (alta/baja por admin) + cotizaciones vía Finnhub con caché en memoria.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Módulo de cartera: cálculo de holdings y % de rendimiento, ejecución de compra contra saldo disponible, endpoints para cliente/asesor/admin, endpoint de perfil propio (con avatar).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Módulo de depósitos: creación de solicitud + QR, envío de txHash, verificadores on-chain TronGrid+TronScan y Polygonscan (código escrito, sin probar contra APIs reales todavía) — falta terminar controllers y wiring del módulo.</w:t>
      </w:r>
    </w:p>
    <w:p>
      <w:pPr>
        <w:pStyle w:val="Heading2"/>
        <w:spacing w:after="120" w:before="250"/>
      </w:pPr>
      <w:r>
        <w:t xml:space="preserve">Falta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Terminar deposits.module.ts, controllers de cliente y de cola de revisión (asesor/admin), y wiring en app.module.ts.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Actualizar seed.ts si hace falta data de prueba (instrumentos, depósitos de ejemplo).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páginas de cliente (mercado, cartera, depósito con QR), asesor/admin (verificador de depósitos, cartera de cliente con nuevos campos).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de despliegue: render.yaml, variables de entorno de producción, conexión a Neon/Upstash, documentación de 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Migración Prisma real (prisma migrate dev) — el schema está editado pero la migración todavía no se generó ni corrió.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(unit + e2e) de los módulos nuevos y verificación de que RLS/RBAC están bien aplicados en cada endpoint.</w:t>
      </w:r>
    </w:p>
    <w:p>
      <w:pPr>
        <w:pStyle w:val="Heading1"/>
        <w:spacing w:after="150" w:before="300"/>
      </w:pPr>
      <w:r>
        <w:t xml:space="preserve">8. Puntos a confirmar antes de retomar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Nombres y condiciones reales de los paquetes comerciales del cliente (hoy: Basic/Growth/Premium, placeholder).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Direcciones de wallet reales de la plataforma para TRON y Polygon (hoy quedan como variables de entorno vacías).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si "más color" para el admin implica algo específico además de la vista agregada por asesor (ej. gráficos, exportables) o si alcanza con lo descripto.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que la validación de fondos (compra de instrumentos) no requiere aprobación de asesor — se asumió que solo el fondeo (depósito) la requiere.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2026-07-30T22:48:49.681Z</dcterms:created>
  <dcterms:modified xsi:type="dcterms:W3CDTF">2026-07-30T22:48:49.682Z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