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873D0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873D0E" w:rsidRPr="00873D0E" w:rsidRDefault="00873D0E" w:rsidP="00873D0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873D0E">
        <w:rPr>
          <w:rFonts w:ascii="Arial Unicode MS" w:eastAsia="Arial Unicode MS" w:hAnsi="Arial Unicode MS" w:cs="Arial Unicode MS"/>
          <w:sz w:val="24"/>
          <w:szCs w:val="24"/>
          <w:lang w:bidi="sa-IN"/>
        </w:rPr>
        <w:t>43</w:t>
      </w:r>
    </w:p>
    <w:p w:rsidR="00873D0E" w:rsidRPr="00873D0E" w:rsidRDefault="00873D0E" w:rsidP="00873D0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873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873D0E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873D0E" w:rsidRPr="00873D0E" w:rsidRDefault="00873D0E" w:rsidP="00873D0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873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873D0E">
        <w:rPr>
          <w:rFonts w:ascii="Arial Unicode MS" w:eastAsia="Arial Unicode MS" w:hAnsi="Arial Unicode MS" w:cs="Arial Unicode MS"/>
          <w:sz w:val="24"/>
          <w:szCs w:val="24"/>
        </w:rPr>
        <w:t>hāchalaṃ&lt;1&gt;</w:t>
      </w:r>
    </w:p>
    <w:p w:rsidR="00873D0E" w:rsidRPr="00873D0E" w:rsidRDefault="00873D0E" w:rsidP="00873D0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873D0E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873D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873D0E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873D0E">
        <w:rPr>
          <w:rFonts w:ascii="Arial Unicode MS" w:eastAsia="Arial Unicode MS" w:hAnsi="Arial Unicode MS" w:cs="Arial Unicode MS"/>
          <w:sz w:val="24"/>
          <w:szCs w:val="24"/>
          <w:lang w:bidi="sa-IN"/>
        </w:rPr>
        <w:t>320</w:t>
      </w: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873D0E" w:rsidRPr="00873D0E" w:rsidRDefault="00873D0E" w:rsidP="00873D0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148 )</w:t>
      </w:r>
      <w:proofErr w:type="gramEnd"/>
    </w:p>
    <w:p w:rsidR="00873D0E" w:rsidRPr="00873D0E" w:rsidRDefault="00873D0E" w:rsidP="00873D0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Ś. 1268 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śrī [..] vasu-ṛtu-ravisaṃkhyā yute [śa]kavatsare .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māghe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ravigraha pu-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ṇyasamaye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bhānuvāsare&lt;2&gt; . [1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]mānavyasa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kulotpannaḥ śrīmān lakuma-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bhūpatiḥ .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sarvvalokābhayaḥ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śrīmān viṣṇuvarddhanasajñitaḥ . [2]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suto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vi-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jayadevasya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mahataścakravarttinaḥ .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svāyurārogyata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nayakhyāti vaṃ-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śābhivṛddhaye .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nṛhareramato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nityaṃ pradīpa[jva]lanāyavai .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paṃcāśadgā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[ḥ]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śu]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bhāḥ śodāddīpadaṃḍaṃ ca śobha[na]ṃ . [4]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punarasyaiva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mahiṣī śriyādevīti nā-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mataḥ .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pratyahaṃ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nṛhareḥ prādāmmālāṃ svābhīṣṭasiddhaye . [5]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pravarttatā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ma-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yaṃ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dharmmo dhāvadācaṃdratārakaṃ .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1268 ne[ṃṭi] māgha kṛṣṇa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amāvāsyā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grahaṇapuṇyasamayamadu [śrī]narasiṃha sannidhini sarvva lokāśraya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>&lt;1. In the thirty-third niche of the verandah round the central shrine of this temple.&gt;</w:t>
      </w:r>
    </w:p>
    <w:p w:rsidR="007A0EA4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>&lt;2. The corresponding date is the 11th February, 1317 A. D., Sunday, according to the Amānia system.&gt;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444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śrīviṣṇuvarddhana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mahārāja vīragoṭṭa lakumarāju tanaku nāyurārogyaiśvaryyā-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bhivṛddhigā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dīpaṃ veluṃguṭaku peṭṭina modālu 50 dīpadaṃḍu 1 .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vīri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mahāde-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vi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śriyādevi tanaku puṇyamugā nityamu tirumāla naḍavanu tirupaḍināyakuni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siṃhenāyaku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valla toṃṭa krayamukoni ītani vetana ku ca naḍū prasādamu ṭhāvu-</w:t>
      </w:r>
    </w:p>
    <w:p w:rsidR="00873D0E" w:rsidRPr="00873D0E" w:rsidRDefault="00873D0E" w:rsidP="00873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(14.) ... .... ....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nāthunikinni ..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73D0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73D0E">
        <w:rPr>
          <w:rFonts w:ascii="Arial Unicode MS" w:eastAsia="Arial Unicode MS" w:hAnsi="Arial Unicode MS" w:cs="Arial Unicode MS"/>
          <w:sz w:val="24"/>
          <w:szCs w:val="24"/>
        </w:rPr>
        <w:t xml:space="preserve"> dhamma(rmmaṃ) śrīvaiṣṇavula rakṣa śrī [..]</w:t>
      </w:r>
    </w:p>
    <w:sectPr w:rsidR="00873D0E" w:rsidRPr="0087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0E"/>
    <w:rsid w:val="000C2906"/>
    <w:rsid w:val="000F336C"/>
    <w:rsid w:val="002B01D5"/>
    <w:rsid w:val="003C10CF"/>
    <w:rsid w:val="00467519"/>
    <w:rsid w:val="004E4259"/>
    <w:rsid w:val="007A0EA4"/>
    <w:rsid w:val="00873D0E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E1088-0636-4FBE-AF30-47DEAF04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D0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2025-02-24T06:17:00Z</dcterms:created>
  <dcterms:modified xsi:type="dcterms:W3CDTF">2025-02-24T06:19:00Z</dcterms:modified>
</cp:coreProperties>
</file>