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13B7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713B74" w:rsidRPr="00713B74" w:rsidRDefault="00713B74" w:rsidP="00713B7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713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52</w:t>
      </w:r>
    </w:p>
    <w:p w:rsidR="00713B74" w:rsidRPr="00713B74" w:rsidRDefault="00713B74" w:rsidP="00713B7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713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57</w:t>
      </w:r>
    </w:p>
    <w:p w:rsidR="00713B74" w:rsidRPr="00713B74" w:rsidRDefault="00713B74" w:rsidP="00713B7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713B74">
        <w:rPr>
          <w:rFonts w:ascii="Arial Unicode MS" w:eastAsia="Arial Unicode MS" w:hAnsi="Arial Unicode MS" w:cs="Arial Unicode MS"/>
          <w:sz w:val="24"/>
          <w:szCs w:val="24"/>
          <w:lang w:bidi="sa-IN"/>
        </w:rPr>
        <w:t>ṁ</w:t>
      </w:r>
      <w:r w:rsidRPr="00713B74">
        <w:rPr>
          <w:rFonts w:ascii="Arial Unicode MS" w:eastAsia="Arial Unicode MS" w:hAnsi="Arial Unicode MS" w:cs="Arial Unicode MS"/>
          <w:sz w:val="24"/>
          <w:szCs w:val="24"/>
        </w:rPr>
        <w:t>hāchalaṃ&lt;</w:t>
      </w:r>
      <w:r w:rsidRPr="00713B74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713B74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713B74" w:rsidRPr="00713B74" w:rsidRDefault="00713B74" w:rsidP="00713B7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>. I. I. Vol. VI, No. 911; A. R. No. 295 of 1899;</w:t>
      </w:r>
    </w:p>
    <w:p w:rsidR="00713B74" w:rsidRPr="00713B74" w:rsidRDefault="00713B74" w:rsidP="00713B7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1679, No.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123 )</w:t>
      </w:r>
      <w:proofErr w:type="gramEnd"/>
    </w:p>
    <w:p w:rsidR="00713B74" w:rsidRPr="00713B74" w:rsidRDefault="00713B74" w:rsidP="00713B7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śaśi-śaila-bhānugaṇite vaittyāṃ bhṛgorvvāsara śrīsiṃhācalanā-</w:t>
      </w: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yakasya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nṛhare dīpapradīptye mudā .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agre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saṃkamanāyakasya tanayaḥ paṃcāśataṃ</w:t>
      </w: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pratyahaṃ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ccāgīratammayanāyakassupayasaḥ prādātsutā vāptaye .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śakavaruṣavulu</w:t>
      </w:r>
      <w:proofErr w:type="gramEnd"/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(4.) 1271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neṃṭi caitra śukla punnami śukravāra&lt;2&gt;munāṃḍu ḍākamāri saṃkamanāyuni ko-</w:t>
      </w: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ḍuku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tammanāyuṃḍu putrapautrābhivṛddhigānu śrīnārasihanāthuni sannidhini nityamu</w:t>
      </w: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dīpamu veluṃguvku māṃkavoyuni koḍku pūrāīvoyuṃḍu perumāṃḍivo-</w:t>
      </w: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yu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vīri[dda]ṛ vaśamuna poṭana goriyalu eṃbhaï leka goriyalu 50</w:t>
      </w: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dharmmavu ācaṃdrārkkarathāigānu cellagaldu ī dharmmavu śrīvaiṣṇava</w:t>
      </w: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rakṣa ..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 manīṣibhiḥ .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hi śatruḥ</w:t>
      </w:r>
    </w:p>
    <w:p w:rsidR="007A0EA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syāddharmmaḥ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śatrurnna kasyacit . </w:t>
      </w:r>
      <w:proofErr w:type="gramStart"/>
      <w:r w:rsidRPr="00713B74">
        <w:rPr>
          <w:rFonts w:ascii="Arial Unicode MS" w:eastAsia="Arial Unicode MS" w:hAnsi="Arial Unicode MS" w:cs="Arial Unicode MS"/>
          <w:sz w:val="24"/>
          <w:szCs w:val="24"/>
        </w:rPr>
        <w:t>maṃgalamahā</w:t>
      </w:r>
      <w:proofErr w:type="gramEnd"/>
      <w:r w:rsidRPr="00713B74">
        <w:rPr>
          <w:rFonts w:ascii="Arial Unicode MS" w:eastAsia="Arial Unicode MS" w:hAnsi="Arial Unicode MS" w:cs="Arial Unicode MS"/>
          <w:sz w:val="24"/>
          <w:szCs w:val="24"/>
        </w:rPr>
        <w:t xml:space="preserve"> śrī śrī śrī [..]</w:t>
      </w: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twenty-fourth niche of the verandah round the central shrine of this temple.&gt;</w:t>
      </w: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13B7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</w:t>
      </w:r>
      <w:r w:rsidRPr="00713B7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713B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1349 A. D., Friday. The Paurnami tithi commenced after about 9 A. M. in Friday.&gt;</w:t>
      </w:r>
    </w:p>
    <w:p w:rsidR="00713B74" w:rsidRPr="00713B74" w:rsidRDefault="00713B74" w:rsidP="00713B7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13B74" w:rsidRPr="00713B74" w:rsidRDefault="00713B74" w:rsidP="00713B7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13B74" w:rsidRPr="00713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74"/>
    <w:rsid w:val="000C2906"/>
    <w:rsid w:val="000F336C"/>
    <w:rsid w:val="002B01D5"/>
    <w:rsid w:val="003C10CF"/>
    <w:rsid w:val="00467519"/>
    <w:rsid w:val="004E4259"/>
    <w:rsid w:val="00713B74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495CB-CBFE-4DF5-89CA-4D445362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B7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2025-02-24T06:59:00Z</dcterms:created>
  <dcterms:modified xsi:type="dcterms:W3CDTF">2025-02-24T07:00:00Z</dcterms:modified>
</cp:coreProperties>
</file>